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5D" w:rsidRPr="00F57DF5" w:rsidRDefault="00824C5D" w:rsidP="00824C5D">
      <w:pPr>
        <w:ind w:right="-1"/>
        <w:jc w:val="both"/>
        <w:rPr>
          <w:rFonts w:ascii="Times New Roman" w:hAnsi="Times New Roman" w:cs="Times New Roman"/>
          <w:color w:val="FF0000"/>
          <w:sz w:val="24"/>
          <w:szCs w:val="24"/>
          <w:lang w:val="en-US"/>
        </w:rPr>
      </w:pPr>
      <w:r>
        <w:rPr>
          <w:rFonts w:ascii="Times New Roman" w:hAnsi="Times New Roman" w:cs="Times New Roman"/>
          <w:sz w:val="24"/>
          <w:szCs w:val="24"/>
          <w:lang w:val="en-US"/>
        </w:rPr>
        <w:t>GREEN ECONOMY INDEX: WHAT REALLY MATTERS?</w:t>
      </w:r>
    </w:p>
    <w:p w:rsidR="00824C5D" w:rsidRPr="00F57DF5" w:rsidRDefault="00824C5D" w:rsidP="00824C5D">
      <w:pPr>
        <w:ind w:right="-1"/>
        <w:jc w:val="both"/>
        <w:rPr>
          <w:rFonts w:ascii="Times New Roman" w:hAnsi="Times New Roman" w:cs="Times New Roman"/>
          <w:sz w:val="24"/>
          <w:szCs w:val="24"/>
          <w:lang w:val="en-US"/>
        </w:rPr>
      </w:pPr>
    </w:p>
    <w:p w:rsidR="00824C5D" w:rsidRPr="00F57DF5" w:rsidRDefault="00824C5D" w:rsidP="00824C5D">
      <w:pPr>
        <w:ind w:right="-1"/>
        <w:jc w:val="both"/>
        <w:rPr>
          <w:rFonts w:ascii="Times New Roman" w:hAnsi="Times New Roman" w:cs="Times New Roman"/>
          <w:sz w:val="24"/>
          <w:szCs w:val="24"/>
          <w:lang w:val="en-US"/>
        </w:rPr>
      </w:pPr>
    </w:p>
    <w:p w:rsidR="00824C5D" w:rsidRPr="00824C5D" w:rsidRDefault="00824C5D" w:rsidP="00824C5D">
      <w:pPr>
        <w:ind w:right="-1"/>
        <w:jc w:val="both"/>
        <w:rPr>
          <w:rFonts w:ascii="Times New Roman" w:hAnsi="Times New Roman" w:cs="Times New Roman"/>
          <w:sz w:val="24"/>
          <w:szCs w:val="24"/>
        </w:rPr>
      </w:pPr>
      <w:r w:rsidRPr="00824C5D">
        <w:rPr>
          <w:rFonts w:ascii="Times New Roman" w:hAnsi="Times New Roman" w:cs="Times New Roman"/>
          <w:sz w:val="24"/>
          <w:szCs w:val="24"/>
        </w:rPr>
        <w:t xml:space="preserve">Anna Eloyr Vilasboas                    </w:t>
      </w:r>
      <w:r w:rsidR="00902BCA">
        <w:rPr>
          <w:rFonts w:ascii="Times New Roman" w:hAnsi="Times New Roman" w:cs="Times New Roman"/>
          <w:sz w:val="24"/>
          <w:szCs w:val="24"/>
        </w:rPr>
        <w:t xml:space="preserve">                               </w:t>
      </w:r>
      <w:r w:rsidRPr="00824C5D">
        <w:rPr>
          <w:rFonts w:ascii="Times New Roman" w:hAnsi="Times New Roman" w:cs="Times New Roman"/>
          <w:sz w:val="24"/>
          <w:szCs w:val="24"/>
        </w:rPr>
        <w:t>Joanílio Rodolpho Teixeira</w:t>
      </w:r>
    </w:p>
    <w:p w:rsidR="00824C5D" w:rsidRPr="00F57DF5" w:rsidRDefault="00824C5D" w:rsidP="00824C5D">
      <w:pPr>
        <w:ind w:right="-1"/>
        <w:jc w:val="both"/>
        <w:rPr>
          <w:rFonts w:ascii="Times New Roman" w:hAnsi="Times New Roman" w:cs="Times New Roman"/>
          <w:sz w:val="24"/>
          <w:szCs w:val="24"/>
          <w:lang w:val="en-US"/>
        </w:rPr>
      </w:pPr>
      <w:r w:rsidRPr="00F57DF5">
        <w:rPr>
          <w:rFonts w:ascii="Times New Roman" w:hAnsi="Times New Roman" w:cs="Times New Roman"/>
          <w:sz w:val="24"/>
          <w:szCs w:val="24"/>
          <w:lang w:val="en-US"/>
        </w:rPr>
        <w:t xml:space="preserve">Department of Economics                                            Department of Economics </w:t>
      </w:r>
    </w:p>
    <w:p w:rsidR="00824C5D" w:rsidRPr="00F57DF5" w:rsidRDefault="00824C5D" w:rsidP="00824C5D">
      <w:pPr>
        <w:ind w:right="-1"/>
        <w:jc w:val="both"/>
        <w:rPr>
          <w:rFonts w:ascii="Times New Roman" w:hAnsi="Times New Roman" w:cs="Times New Roman"/>
          <w:sz w:val="24"/>
          <w:szCs w:val="24"/>
          <w:lang w:val="en-US"/>
        </w:rPr>
      </w:pPr>
      <w:r w:rsidRPr="00F57DF5">
        <w:rPr>
          <w:rFonts w:ascii="Times New Roman" w:hAnsi="Times New Roman" w:cs="Times New Roman"/>
          <w:sz w:val="24"/>
          <w:szCs w:val="24"/>
          <w:lang w:val="en-US"/>
        </w:rPr>
        <w:t>University of Bra</w:t>
      </w:r>
      <w:r>
        <w:rPr>
          <w:rFonts w:ascii="Times New Roman" w:hAnsi="Times New Roman" w:cs="Times New Roman"/>
          <w:sz w:val="24"/>
          <w:szCs w:val="24"/>
          <w:lang w:val="en-US"/>
        </w:rPr>
        <w:t xml:space="preserve">sília                      </w:t>
      </w:r>
      <w:r w:rsidRPr="00F57DF5">
        <w:rPr>
          <w:rFonts w:ascii="Times New Roman" w:hAnsi="Times New Roman" w:cs="Times New Roman"/>
          <w:sz w:val="24"/>
          <w:szCs w:val="24"/>
          <w:lang w:val="en-US"/>
        </w:rPr>
        <w:t xml:space="preserve">    </w:t>
      </w:r>
      <w:r w:rsidR="00902BCA">
        <w:rPr>
          <w:rFonts w:ascii="Times New Roman" w:hAnsi="Times New Roman" w:cs="Times New Roman"/>
          <w:sz w:val="24"/>
          <w:szCs w:val="24"/>
          <w:lang w:val="en-US"/>
        </w:rPr>
        <w:t xml:space="preserve">                         </w:t>
      </w:r>
      <w:r w:rsidRPr="00F57DF5">
        <w:rPr>
          <w:rFonts w:ascii="Times New Roman" w:hAnsi="Times New Roman" w:cs="Times New Roman"/>
          <w:sz w:val="24"/>
          <w:szCs w:val="24"/>
          <w:lang w:val="en-US"/>
        </w:rPr>
        <w:t xml:space="preserve"> University of Brasília    </w:t>
      </w:r>
    </w:p>
    <w:p w:rsidR="00824C5D" w:rsidRDefault="00824C5D" w:rsidP="00824C5D">
      <w:pPr>
        <w:ind w:right="-1"/>
        <w:jc w:val="both"/>
        <w:rPr>
          <w:rFonts w:ascii="Times New Roman" w:hAnsi="Times New Roman" w:cs="Times New Roman"/>
          <w:sz w:val="24"/>
          <w:szCs w:val="24"/>
          <w:lang w:val="en-US"/>
        </w:rPr>
      </w:pPr>
    </w:p>
    <w:p w:rsidR="00824C5D" w:rsidRDefault="00824C5D" w:rsidP="00824C5D">
      <w:pPr>
        <w:ind w:right="-1"/>
        <w:jc w:val="both"/>
        <w:rPr>
          <w:rFonts w:ascii="Times New Roman" w:hAnsi="Times New Roman" w:cs="Times New Roman"/>
          <w:sz w:val="24"/>
          <w:szCs w:val="24"/>
          <w:lang w:val="en-US"/>
        </w:rPr>
      </w:pPr>
    </w:p>
    <w:p w:rsidR="00824C5D" w:rsidRPr="00F57DF5" w:rsidRDefault="00824C5D" w:rsidP="00824C5D">
      <w:pPr>
        <w:ind w:right="-1"/>
        <w:jc w:val="both"/>
        <w:rPr>
          <w:rFonts w:ascii="Times New Roman" w:hAnsi="Times New Roman" w:cs="Times New Roman"/>
          <w:sz w:val="24"/>
          <w:szCs w:val="24"/>
          <w:lang w:val="en-US"/>
        </w:rPr>
      </w:pPr>
    </w:p>
    <w:p w:rsidR="00824C5D" w:rsidRPr="00F57DF5" w:rsidRDefault="00824C5D" w:rsidP="00824C5D">
      <w:pPr>
        <w:ind w:right="-1"/>
        <w:jc w:val="center"/>
        <w:rPr>
          <w:rFonts w:ascii="Times New Roman" w:hAnsi="Times New Roman" w:cs="Times New Roman"/>
          <w:sz w:val="24"/>
          <w:szCs w:val="24"/>
          <w:lang w:val="en-US"/>
        </w:rPr>
      </w:pPr>
      <w:r w:rsidRPr="00F57DF5">
        <w:rPr>
          <w:rFonts w:ascii="Times New Roman" w:hAnsi="Times New Roman" w:cs="Times New Roman"/>
          <w:sz w:val="24"/>
          <w:szCs w:val="24"/>
          <w:lang w:val="en-US"/>
        </w:rPr>
        <w:t>ABSTRACT</w:t>
      </w:r>
    </w:p>
    <w:p w:rsidR="00824C5D" w:rsidRPr="003C6E7E" w:rsidRDefault="00824C5D" w:rsidP="00824C5D">
      <w:pPr>
        <w:spacing w:line="259" w:lineRule="exact"/>
        <w:ind w:right="-1"/>
        <w:rPr>
          <w:lang w:val="en-US"/>
        </w:rPr>
      </w:pPr>
    </w:p>
    <w:p w:rsidR="00824C5D" w:rsidRPr="00F57DF5" w:rsidRDefault="00824C5D" w:rsidP="00824C5D">
      <w:pPr>
        <w:ind w:right="-1"/>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In the recent decades, the global increase in resource consumption, waste production, and environmental pollution has become a core aspect of the sustainable development framework. </w:t>
      </w:r>
      <w:r w:rsidRPr="00122049">
        <w:rPr>
          <w:rFonts w:ascii="Times New Roman" w:hAnsi="Times New Roman" w:cs="Times New Roman"/>
          <w:sz w:val="24"/>
          <w:szCs w:val="24"/>
          <w:lang w:val="en-US"/>
        </w:rPr>
        <w:t xml:space="preserve">Humanity is living in the era of global warming and </w:t>
      </w:r>
      <w:r>
        <w:rPr>
          <w:rFonts w:ascii="Times New Roman" w:hAnsi="Times New Roman" w:cs="Times New Roman"/>
          <w:sz w:val="24"/>
          <w:szCs w:val="24"/>
          <w:lang w:val="en-US"/>
        </w:rPr>
        <w:t xml:space="preserve">faces </w:t>
      </w:r>
      <w:r w:rsidRPr="00122049">
        <w:rPr>
          <w:rFonts w:ascii="Times New Roman" w:hAnsi="Times New Roman" w:cs="Times New Roman"/>
          <w:sz w:val="24"/>
          <w:szCs w:val="24"/>
          <w:lang w:val="en-US"/>
        </w:rPr>
        <w:t>the consequent imbalance of the climate, ecosystem and biodiversity</w:t>
      </w:r>
      <w:r>
        <w:rPr>
          <w:rFonts w:ascii="Times New Roman" w:hAnsi="Times New Roman" w:cs="Times New Roman"/>
          <w:sz w:val="24"/>
          <w:szCs w:val="24"/>
          <w:lang w:val="en-US"/>
        </w:rPr>
        <w:t xml:space="preserve">. Significant efforts have been made in the last half century to establish proper measures to account for welfare and sustainability. This issue deserves further scrutiny, since sound policies must be based on facts, not surmises. After all, we are dealing with conflicts of socioeconomic and environmental objectives. </w:t>
      </w:r>
      <w:r w:rsidRPr="0031622A">
        <w:rPr>
          <w:rFonts w:ascii="Times New Roman" w:hAnsi="Times New Roman" w:cs="Times New Roman"/>
          <w:sz w:val="24"/>
          <w:szCs w:val="24"/>
          <w:lang w:val="en-US"/>
        </w:rPr>
        <w:t>The aim of th</w:t>
      </w:r>
      <w:r>
        <w:rPr>
          <w:rFonts w:ascii="Times New Roman" w:hAnsi="Times New Roman" w:cs="Times New Roman"/>
          <w:sz w:val="24"/>
          <w:szCs w:val="24"/>
          <w:lang w:val="en-US"/>
        </w:rPr>
        <w:t>is article</w:t>
      </w:r>
      <w:r w:rsidRPr="0031622A">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to provide a new index of sustainability, called Green Economy Index, the Magic Triangle, which is associated to Kaldorian ideas. This indicator is capable of assisting in the decision-making process towards sustainable development. For this purpose, three variables were used: GDP </w:t>
      </w:r>
      <w:r>
        <w:rPr>
          <w:rFonts w:ascii="Times New Roman" w:hAnsi="Times New Roman" w:cs="Times New Roman"/>
          <w:i/>
          <w:sz w:val="24"/>
          <w:szCs w:val="24"/>
          <w:lang w:val="en-US"/>
        </w:rPr>
        <w:t>per capita</w:t>
      </w:r>
      <w:r>
        <w:rPr>
          <w:rFonts w:ascii="Times New Roman" w:hAnsi="Times New Roman" w:cs="Times New Roman"/>
          <w:sz w:val="24"/>
          <w:szCs w:val="24"/>
          <w:lang w:val="en-US"/>
        </w:rPr>
        <w:t>, supply of renewable energy and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emissions, a choice based on the three pillars of the green economy. Such index is applied here to measure the performance of Brazil. Our approach demonstrates the weak strength of the Brazilian success in the period.  </w:t>
      </w:r>
    </w:p>
    <w:p w:rsidR="00824C5D" w:rsidRPr="00F57DF5" w:rsidRDefault="00824C5D" w:rsidP="00824C5D">
      <w:pPr>
        <w:ind w:right="-1"/>
        <w:jc w:val="both"/>
        <w:rPr>
          <w:rFonts w:ascii="Times New Roman" w:hAnsi="Times New Roman" w:cs="Times New Roman"/>
          <w:color w:val="000000"/>
          <w:sz w:val="24"/>
          <w:szCs w:val="24"/>
          <w:lang w:val="en-US"/>
        </w:rPr>
      </w:pPr>
    </w:p>
    <w:p w:rsidR="00824C5D" w:rsidRPr="00447570" w:rsidRDefault="00824C5D" w:rsidP="00824C5D">
      <w:pPr>
        <w:spacing w:line="259" w:lineRule="exact"/>
        <w:ind w:right="-1"/>
        <w:jc w:val="both"/>
        <w:rPr>
          <w:rFonts w:ascii="Times New Roman" w:hAnsi="Times New Roman" w:cs="Times New Roman"/>
          <w:sz w:val="24"/>
          <w:szCs w:val="24"/>
          <w:lang w:val="en-US"/>
        </w:rPr>
      </w:pPr>
      <w:r w:rsidRPr="00AD1672">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sustainable development, indicators of sustainability, Green Economy Index, Magic Triangle. </w:t>
      </w:r>
    </w:p>
    <w:p w:rsidR="00824C5D" w:rsidRPr="00F57DF5" w:rsidRDefault="00824C5D" w:rsidP="00824C5D">
      <w:pPr>
        <w:ind w:right="-1"/>
        <w:jc w:val="both"/>
        <w:rPr>
          <w:rFonts w:ascii="Times New Roman" w:hAnsi="Times New Roman" w:cs="Times New Roman"/>
          <w:color w:val="000000"/>
          <w:sz w:val="24"/>
          <w:szCs w:val="24"/>
          <w:lang w:val="en-US"/>
        </w:rPr>
      </w:pPr>
    </w:p>
    <w:p w:rsidR="00824C5D" w:rsidRPr="00F57DF5" w:rsidRDefault="00824C5D" w:rsidP="00824C5D">
      <w:pPr>
        <w:ind w:right="-1"/>
        <w:jc w:val="both"/>
        <w:rPr>
          <w:rFonts w:ascii="Times New Roman" w:hAnsi="Times New Roman" w:cs="Times New Roman"/>
          <w:color w:val="000000"/>
          <w:sz w:val="24"/>
          <w:szCs w:val="24"/>
        </w:rPr>
      </w:pPr>
      <w:r w:rsidRPr="00F57DF5">
        <w:rPr>
          <w:rFonts w:ascii="Times New Roman" w:hAnsi="Times New Roman" w:cs="Times New Roman"/>
          <w:color w:val="000000"/>
          <w:sz w:val="24"/>
          <w:szCs w:val="24"/>
        </w:rPr>
        <w:t xml:space="preserve">JEL CLASSIFICATION: E6, E01, E3, F1 </w:t>
      </w:r>
    </w:p>
    <w:p w:rsidR="00824C5D" w:rsidRPr="00F57DF5" w:rsidRDefault="00824C5D" w:rsidP="00824C5D">
      <w:pPr>
        <w:ind w:right="-1"/>
        <w:jc w:val="both"/>
        <w:rPr>
          <w:rFonts w:ascii="Times New Roman" w:hAnsi="Times New Roman" w:cs="Times New Roman"/>
          <w:color w:val="000000"/>
          <w:sz w:val="24"/>
          <w:szCs w:val="24"/>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Default="00824C5D" w:rsidP="00824C5D">
      <w:pPr>
        <w:pBdr>
          <w:bottom w:val="single" w:sz="6" w:space="1" w:color="auto"/>
        </w:pBdr>
        <w:ind w:right="-1"/>
        <w:jc w:val="both"/>
        <w:rPr>
          <w:color w:val="000000"/>
        </w:rPr>
      </w:pPr>
    </w:p>
    <w:p w:rsidR="00824C5D" w:rsidRPr="001C0993" w:rsidRDefault="00824C5D" w:rsidP="00824C5D">
      <w:pPr>
        <w:pBdr>
          <w:bottom w:val="single" w:sz="6" w:space="1" w:color="auto"/>
        </w:pBdr>
        <w:ind w:right="-1"/>
        <w:jc w:val="both"/>
        <w:rPr>
          <w:color w:val="000000"/>
        </w:rPr>
      </w:pPr>
    </w:p>
    <w:p w:rsidR="00824C5D" w:rsidRPr="001C0993" w:rsidRDefault="00824C5D" w:rsidP="00824C5D">
      <w:pPr>
        <w:pBdr>
          <w:bottom w:val="single" w:sz="6" w:space="1" w:color="auto"/>
        </w:pBdr>
        <w:ind w:right="-1"/>
        <w:jc w:val="both"/>
        <w:rPr>
          <w:color w:val="000000"/>
        </w:rPr>
      </w:pPr>
    </w:p>
    <w:p w:rsidR="00824C5D" w:rsidRPr="001C0993" w:rsidRDefault="00824C5D" w:rsidP="00824C5D">
      <w:pPr>
        <w:pBdr>
          <w:bottom w:val="single" w:sz="6" w:space="1" w:color="auto"/>
        </w:pBdr>
        <w:ind w:right="-1"/>
        <w:jc w:val="both"/>
        <w:rPr>
          <w:color w:val="000000"/>
        </w:rPr>
      </w:pPr>
    </w:p>
    <w:p w:rsidR="00824C5D" w:rsidRDefault="00824C5D" w:rsidP="00824C5D">
      <w:pPr>
        <w:ind w:right="-1"/>
        <w:rPr>
          <w:rFonts w:ascii="Times New Roman" w:hAnsi="Times New Roman" w:cs="Times New Roman"/>
          <w:color w:val="000000"/>
          <w:lang w:val="en-US"/>
        </w:rPr>
      </w:pPr>
      <w:r w:rsidRPr="00F57DF5">
        <w:rPr>
          <w:rFonts w:ascii="Times New Roman" w:hAnsi="Times New Roman" w:cs="Times New Roman"/>
          <w:color w:val="000000"/>
          <w:lang w:val="en-US"/>
        </w:rPr>
        <w:t xml:space="preserve">*This research article is part of the research program of the group of “Growth and Distribution” from the National Council of Science and Technology” (CNPq-Brazil). </w:t>
      </w:r>
      <w:r>
        <w:rPr>
          <w:rFonts w:ascii="Times New Roman" w:hAnsi="Times New Roman" w:cs="Times New Roman"/>
          <w:color w:val="000000"/>
          <w:lang w:val="en-US"/>
        </w:rPr>
        <w:t xml:space="preserve">We thank José Guilherme de Lara Resende and Carlos Rosano Peña for helpful suggestions. </w:t>
      </w:r>
      <w:r w:rsidRPr="00F57DF5">
        <w:rPr>
          <w:rFonts w:ascii="Times New Roman" w:hAnsi="Times New Roman" w:cs="Times New Roman"/>
          <w:color w:val="000000"/>
          <w:lang w:val="en-US"/>
        </w:rPr>
        <w:t xml:space="preserve">For comments, contact: </w:t>
      </w:r>
      <w:hyperlink r:id="rId7" w:history="1">
        <w:r w:rsidRPr="00D77272">
          <w:rPr>
            <w:rStyle w:val="Hyperlink"/>
            <w:rFonts w:ascii="Times New Roman" w:hAnsi="Times New Roman" w:cs="Times New Roman"/>
            <w:lang w:val="en-US"/>
          </w:rPr>
          <w:t>annaeloyr@hotmail.com</w:t>
        </w:r>
      </w:hyperlink>
      <w:r w:rsidRPr="00F57DF5">
        <w:rPr>
          <w:rFonts w:ascii="Times New Roman" w:hAnsi="Times New Roman" w:cs="Times New Roman"/>
          <w:color w:val="000000"/>
          <w:lang w:val="en-US"/>
        </w:rPr>
        <w:t>.</w:t>
      </w:r>
    </w:p>
    <w:p w:rsidR="00824C5D" w:rsidRDefault="00824C5D" w:rsidP="00824C5D">
      <w:pPr>
        <w:ind w:right="-1"/>
        <w:rPr>
          <w:rFonts w:ascii="Times New Roman" w:hAnsi="Times New Roman" w:cs="Times New Roman"/>
          <w:b/>
          <w:sz w:val="24"/>
          <w:szCs w:val="24"/>
          <w:lang w:val="en-US"/>
        </w:rPr>
      </w:pPr>
    </w:p>
    <w:p w:rsidR="00824C5D" w:rsidRPr="007D51C6" w:rsidRDefault="00824C5D" w:rsidP="00824C5D">
      <w:pPr>
        <w:ind w:right="-1"/>
        <w:rPr>
          <w:rFonts w:ascii="Times New Roman" w:hAnsi="Times New Roman" w:cs="Times New Roman"/>
          <w:b/>
          <w:sz w:val="24"/>
          <w:szCs w:val="24"/>
          <w:lang w:val="en-US"/>
        </w:rPr>
      </w:pPr>
      <w:r w:rsidRPr="007D51C6">
        <w:rPr>
          <w:rFonts w:ascii="Times New Roman" w:hAnsi="Times New Roman" w:cs="Times New Roman"/>
          <w:b/>
          <w:sz w:val="24"/>
          <w:szCs w:val="24"/>
          <w:lang w:val="en-US"/>
        </w:rPr>
        <w:t>Introduction</w:t>
      </w:r>
    </w:p>
    <w:p w:rsidR="00824C5D" w:rsidRDefault="00824C5D" w:rsidP="00824C5D">
      <w:pPr>
        <w:spacing w:before="20" w:after="20" w:line="360" w:lineRule="auto"/>
        <w:ind w:right="-1"/>
        <w:jc w:val="both"/>
        <w:rPr>
          <w:rFonts w:ascii="Times New Roman" w:hAnsi="Times New Roman" w:cs="Times New Roman"/>
          <w:sz w:val="24"/>
          <w:szCs w:val="24"/>
          <w:lang w:val="en-US"/>
        </w:rPr>
      </w:pP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search for a balance between economic development and protection of natural resources reinforces the paradigm of green economy. S</w:t>
      </w:r>
      <w:r w:rsidRPr="00A66419">
        <w:rPr>
          <w:rFonts w:ascii="Times New Roman" w:hAnsi="Times New Roman" w:cs="Times New Roman"/>
          <w:sz w:val="24"/>
          <w:szCs w:val="24"/>
          <w:lang w:val="en-US"/>
        </w:rPr>
        <w:t>ustainability is not somethi</w:t>
      </w:r>
      <w:r>
        <w:rPr>
          <w:rFonts w:ascii="Times New Roman" w:hAnsi="Times New Roman" w:cs="Times New Roman"/>
          <w:sz w:val="24"/>
          <w:szCs w:val="24"/>
          <w:lang w:val="en-US"/>
        </w:rPr>
        <w:t>ng that can be achieved quickly. It is a process of change, continuous improvement and structural transformation of society. According to a report to the Club of Rome, the current economic system has put the world on a treadmill that is driving society in a hopeless environmental direction, yet any conventional attempt to stop what is happening only makes the situation worse. Conventional solutions cannot reduce inequality and joblessness, or climate change. Nor will a wealth tax, boosting infrastructure spending, or encouraging more entrepreneurship. These kind of development demands a sort of transformation that has only two precedents: the formation of agrarian societies, from Neolithic groups based in hunting and harvesting; and the fast industrialization, initiated just over two centuries ago (Veiga, 2013).</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Seen in these terms, the construction of a major socio-environmental model requires a wide range of data and information collection from the various aspects involved in production processes. Furthermore, it is necessary to conduct investigations that provide a better understanding of environmental systems. To assist in analyses about sustainable development, the indicators of sustainability appear to gather and quantify social, environmental and economic information in a way that complex phenomena can be simplified and communication process between agents can improve. It is under a data set obtained from indicators that environmental management policies will be targeted for most rational use of natural resources (Kemerich, Ritter e Borba, 2014).</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Historically, it is possible interpret the increasing doubts about the future of the environment as one of the consequences of a succession of crises in the second half of the 20</w:t>
      </w:r>
      <w:r w:rsidRPr="00CF351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century. Between 1960s and 1980s, many environmental disasters, as those taking place in the Gulf of Minamata in Japan, and in nuclear plant of Chernobyl in the former Soviet Union, brought a breakthrough in the awareness of environmental problems (Van Bellen, 2014).  Consequently, the sustainable indicators began to grow more strongly in this period through Index of Sustainable Economic Welfare (ISEW) and Measure of Economic Welfare (MEW), among others.</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critics, sustainable indicators are being consolidated as important instruments in the last years, since they facilitate joint analyses of the social, economic and environmental dimensions. However, due to the considerable degree of subjectivity in measurement processes, no widely recognized indicator exists. This work will seek to propose a sustainable indicator constituted by objectives variables and a single methodology to measure theoretically and empirically the magnitude of welfare, called Green Economy Index. It was assembled from an analytical instrument, named Magic Triangle, which is based on the ideas of Kaldor (1971). A positive aspect of this indicator is the fact that it does not depend on the ordering of the variables, a problem present in other measures based on the Kaldorian approach, such as the Magic Square. In addition, due to its simplicity of measurement and graphical representation, this index appears as an analytical tool among various more complex indicators of sustainability. After this introduction, section 1 will review the literature on sustainable indicators; section 2 will introduce the theoretical formulation of the proposed indicator; section 3 will apply the indicator to a Brazilian context; and the conclusion will summarize the most important points explored in the article. </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p>
    <w:p w:rsidR="00824C5D" w:rsidRPr="001872CC" w:rsidRDefault="00824C5D" w:rsidP="00824C5D">
      <w:pPr>
        <w:spacing w:before="20" w:after="20" w:line="360" w:lineRule="auto"/>
        <w:ind w:right="-1"/>
        <w:jc w:val="both"/>
        <w:rPr>
          <w:rFonts w:ascii="Times New Roman" w:hAnsi="Times New Roman" w:cs="Times New Roman"/>
          <w:b/>
          <w:sz w:val="24"/>
          <w:szCs w:val="24"/>
          <w:lang w:val="en-US"/>
        </w:rPr>
      </w:pPr>
      <w:r w:rsidRPr="001872CC">
        <w:rPr>
          <w:rFonts w:ascii="Times New Roman" w:hAnsi="Times New Roman" w:cs="Times New Roman"/>
          <w:b/>
          <w:sz w:val="24"/>
          <w:szCs w:val="24"/>
          <w:lang w:val="en-US"/>
        </w:rPr>
        <w:t>1. Sustainable Indicators</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According to Castañeda (1999), discussions about economic growth goals in a social and environmental welfare context have occurred since 1960. Some important questions are dealt with, such as: whether economic growth could help in the increase of welfare, and whether it was limited by natural resources scarcity and high levels of pollution. Economists related to ecology proposed the “threshold hypothesis” (Max-Neef, 1995), suggesting that economic growth has contributed to human welfare to some degree, the threshold point. From this concept, many indicators were built tomeasure the relation between progress, welfare and sustainability.</w:t>
      </w: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scientific debate about</w:t>
      </w:r>
      <w:r w:rsidRPr="005E27A6">
        <w:rPr>
          <w:rFonts w:ascii="Times New Roman" w:hAnsi="Times New Roman" w:cs="Times New Roman"/>
          <w:sz w:val="24"/>
          <w:szCs w:val="24"/>
          <w:lang w:val="en-US"/>
        </w:rPr>
        <w:t xml:space="preserve"> sustainability indicators was raised by the chapter “Is growth obsolete?”in the fifth volume of the series</w:t>
      </w:r>
      <w:r>
        <w:rPr>
          <w:rFonts w:ascii="Times New Roman" w:hAnsi="Times New Roman" w:cs="Times New Roman"/>
          <w:sz w:val="24"/>
          <w:szCs w:val="24"/>
          <w:lang w:val="en-US"/>
        </w:rPr>
        <w:t xml:space="preserve"> </w:t>
      </w:r>
      <w:r w:rsidRPr="005E27A6">
        <w:rPr>
          <w:rFonts w:ascii="Times New Roman" w:hAnsi="Times New Roman" w:cs="Times New Roman"/>
          <w:sz w:val="24"/>
          <w:szCs w:val="24"/>
          <w:lang w:val="en-US"/>
        </w:rPr>
        <w:t>published in 1972 by William D. Nordhaus and James Tobin, Economic Research: Retrospect, the National Bureau of Economic Research (NBER)</w:t>
      </w:r>
      <w:r>
        <w:rPr>
          <w:rFonts w:ascii="Times New Roman" w:hAnsi="Times New Roman" w:cs="Times New Roman"/>
          <w:sz w:val="24"/>
          <w:szCs w:val="24"/>
          <w:lang w:val="en-US"/>
        </w:rPr>
        <w:t>. Although the focus of such</w:t>
      </w:r>
      <w:r w:rsidRPr="005E27A6">
        <w:rPr>
          <w:rFonts w:ascii="Times New Roman" w:hAnsi="Times New Roman" w:cs="Times New Roman"/>
          <w:sz w:val="24"/>
          <w:szCs w:val="24"/>
          <w:lang w:val="en-US"/>
        </w:rPr>
        <w:t xml:space="preserve"> work is not </w:t>
      </w:r>
      <w:r>
        <w:rPr>
          <w:rFonts w:ascii="Times New Roman" w:hAnsi="Times New Roman" w:cs="Times New Roman"/>
          <w:sz w:val="24"/>
          <w:szCs w:val="24"/>
          <w:lang w:val="en-US"/>
        </w:rPr>
        <w:t xml:space="preserve">on </w:t>
      </w:r>
      <w:r w:rsidRPr="005E27A6">
        <w:rPr>
          <w:rFonts w:ascii="Times New Roman" w:hAnsi="Times New Roman" w:cs="Times New Roman"/>
          <w:sz w:val="24"/>
          <w:szCs w:val="24"/>
          <w:lang w:val="en-US"/>
        </w:rPr>
        <w:t xml:space="preserve">indicators, but </w:t>
      </w:r>
      <w:r>
        <w:rPr>
          <w:rFonts w:ascii="Times New Roman" w:hAnsi="Times New Roman" w:cs="Times New Roman"/>
          <w:sz w:val="24"/>
          <w:szCs w:val="24"/>
          <w:lang w:val="en-US"/>
        </w:rPr>
        <w:t>rather on the</w:t>
      </w:r>
      <w:r w:rsidRPr="005E27A6">
        <w:rPr>
          <w:rFonts w:ascii="Times New Roman" w:hAnsi="Times New Roman" w:cs="Times New Roman"/>
          <w:sz w:val="24"/>
          <w:szCs w:val="24"/>
          <w:lang w:val="en-US"/>
        </w:rPr>
        <w:t xml:space="preserve"> hypothetical obsolescence of economic </w:t>
      </w:r>
      <w:r>
        <w:rPr>
          <w:rFonts w:ascii="Times New Roman" w:hAnsi="Times New Roman" w:cs="Times New Roman"/>
          <w:sz w:val="24"/>
          <w:szCs w:val="24"/>
          <w:lang w:val="en-US"/>
        </w:rPr>
        <w:t>growth,</w:t>
      </w:r>
      <w:r w:rsidRPr="005E27A6">
        <w:rPr>
          <w:rFonts w:ascii="Times New Roman" w:hAnsi="Times New Roman" w:cs="Times New Roman"/>
          <w:sz w:val="24"/>
          <w:szCs w:val="24"/>
          <w:lang w:val="en-US"/>
        </w:rPr>
        <w:t xml:space="preserve"> the authors </w:t>
      </w:r>
      <w:r>
        <w:rPr>
          <w:rFonts w:ascii="Times New Roman" w:hAnsi="Times New Roman" w:cs="Times New Roman"/>
          <w:sz w:val="24"/>
          <w:szCs w:val="24"/>
          <w:lang w:val="en-US"/>
        </w:rPr>
        <w:t>did not fail</w:t>
      </w:r>
      <w:r w:rsidRPr="005E27A6">
        <w:rPr>
          <w:rFonts w:ascii="Times New Roman" w:hAnsi="Times New Roman" w:cs="Times New Roman"/>
          <w:sz w:val="24"/>
          <w:szCs w:val="24"/>
          <w:lang w:val="en-US"/>
        </w:rPr>
        <w:t xml:space="preserve"> to address the loss of natural resour</w:t>
      </w:r>
      <w:r>
        <w:rPr>
          <w:rFonts w:ascii="Times New Roman" w:hAnsi="Times New Roman" w:cs="Times New Roman"/>
          <w:sz w:val="24"/>
          <w:szCs w:val="24"/>
          <w:lang w:val="en-US"/>
        </w:rPr>
        <w:t>ces inevitably caused by economic progress</w:t>
      </w:r>
      <w:r w:rsidRPr="005E27A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E27A6">
        <w:rPr>
          <w:rFonts w:ascii="Times New Roman" w:hAnsi="Times New Roman" w:cs="Times New Roman"/>
          <w:sz w:val="24"/>
          <w:szCs w:val="24"/>
          <w:lang w:val="en-US"/>
        </w:rPr>
        <w:t>Nordhaus and Tobin wanted to demonstrate that the progress indicated by measures resulting from the national accounting, such as GDP, could become non-existent when compared to measures more focused o</w:t>
      </w:r>
      <w:r>
        <w:rPr>
          <w:rFonts w:ascii="Times New Roman" w:hAnsi="Times New Roman" w:cs="Times New Roman"/>
          <w:sz w:val="24"/>
          <w:szCs w:val="24"/>
          <w:lang w:val="en-US"/>
        </w:rPr>
        <w:t xml:space="preserve">n the social well-being. </w:t>
      </w:r>
      <w:r w:rsidRPr="005E27A6">
        <w:rPr>
          <w:rFonts w:ascii="Times New Roman" w:hAnsi="Times New Roman" w:cs="Times New Roman"/>
          <w:sz w:val="24"/>
          <w:szCs w:val="24"/>
          <w:lang w:val="en-US"/>
        </w:rPr>
        <w:t>In this way, they built the so-called MEW from a series of amendments to the calculation method of the national product, for example, to remove components that do not contribute to the well-bein</w:t>
      </w:r>
      <w:r>
        <w:rPr>
          <w:rFonts w:ascii="Times New Roman" w:hAnsi="Times New Roman" w:cs="Times New Roman"/>
          <w:sz w:val="24"/>
          <w:szCs w:val="24"/>
          <w:lang w:val="en-US"/>
        </w:rPr>
        <w:t xml:space="preserve">g. </w:t>
      </w:r>
    </w:p>
    <w:p w:rsidR="00824C5D" w:rsidRPr="002E57B9" w:rsidRDefault="00824C5D" w:rsidP="00824C5D">
      <w:pPr>
        <w:spacing w:line="360" w:lineRule="auto"/>
        <w:ind w:right="-1" w:firstLine="851"/>
        <w:jc w:val="both"/>
        <w:rPr>
          <w:rFonts w:ascii="Times New Roman" w:hAnsi="Times New Roman" w:cs="Times New Roman"/>
          <w:vanish/>
          <w:sz w:val="24"/>
          <w:szCs w:val="24"/>
          <w:lang w:val="en-US"/>
        </w:rPr>
      </w:pPr>
      <w:r>
        <w:rPr>
          <w:rFonts w:ascii="Times New Roman" w:hAnsi="Times New Roman" w:cs="Times New Roman"/>
          <w:sz w:val="24"/>
          <w:szCs w:val="24"/>
          <w:lang w:val="en-US"/>
        </w:rPr>
        <w:t>Unlike MEW, the Index of S</w:t>
      </w:r>
      <w:r w:rsidRPr="002E57B9">
        <w:rPr>
          <w:rFonts w:ascii="Times New Roman" w:hAnsi="Times New Roman" w:cs="Times New Roman"/>
          <w:sz w:val="24"/>
          <w:szCs w:val="24"/>
          <w:lang w:val="en-US"/>
        </w:rPr>
        <w:t>usta</w:t>
      </w:r>
      <w:r>
        <w:rPr>
          <w:rFonts w:ascii="Times New Roman" w:hAnsi="Times New Roman" w:cs="Times New Roman"/>
          <w:sz w:val="24"/>
          <w:szCs w:val="24"/>
          <w:lang w:val="en-US"/>
        </w:rPr>
        <w:t>inable Economic W</w:t>
      </w:r>
      <w:r w:rsidRPr="002E57B9">
        <w:rPr>
          <w:rFonts w:ascii="Times New Roman" w:hAnsi="Times New Roman" w:cs="Times New Roman"/>
          <w:sz w:val="24"/>
          <w:szCs w:val="24"/>
          <w:lang w:val="en-US"/>
        </w:rPr>
        <w:t>elfare (ISEW) proposed by Daly and Cobb (1989) has had great practical effect</w:t>
      </w:r>
      <w:r>
        <w:rPr>
          <w:rFonts w:ascii="Times New Roman" w:hAnsi="Times New Roman" w:cs="Times New Roman"/>
          <w:sz w:val="24"/>
          <w:szCs w:val="24"/>
          <w:lang w:val="en-US"/>
        </w:rPr>
        <w:t>, since it can</w:t>
      </w:r>
      <w:r w:rsidRPr="002E57B9">
        <w:rPr>
          <w:rFonts w:ascii="Times New Roman" w:hAnsi="Times New Roman" w:cs="Times New Roman"/>
          <w:sz w:val="24"/>
          <w:szCs w:val="24"/>
          <w:lang w:val="en-US"/>
        </w:rPr>
        <w:t xml:space="preserve"> be calculated for many countries, such as Canada, Germany, the United Kingdom and Scotland.</w:t>
      </w:r>
      <w:r>
        <w:rPr>
          <w:rFonts w:ascii="Times New Roman" w:hAnsi="Times New Roman" w:cs="Times New Roman"/>
          <w:sz w:val="24"/>
          <w:szCs w:val="24"/>
          <w:lang w:val="en-US"/>
        </w:rPr>
        <w:t xml:space="preserve"> Some</w:t>
      </w:r>
      <w:r w:rsidRPr="002E57B9">
        <w:rPr>
          <w:rFonts w:ascii="Times New Roman" w:hAnsi="Times New Roman" w:cs="Times New Roman"/>
          <w:sz w:val="24"/>
          <w:szCs w:val="24"/>
          <w:lang w:val="en-US"/>
        </w:rPr>
        <w:t xml:space="preserve"> problems found </w:t>
      </w:r>
      <w:r>
        <w:rPr>
          <w:rFonts w:ascii="Times New Roman" w:hAnsi="Times New Roman" w:cs="Times New Roman"/>
          <w:sz w:val="24"/>
          <w:szCs w:val="24"/>
          <w:lang w:val="en-US"/>
        </w:rPr>
        <w:t>with this</w:t>
      </w:r>
      <w:r w:rsidRPr="002E57B9">
        <w:rPr>
          <w:rFonts w:ascii="Times New Roman" w:hAnsi="Times New Roman" w:cs="Times New Roman"/>
          <w:sz w:val="24"/>
          <w:szCs w:val="24"/>
          <w:lang w:val="en-US"/>
        </w:rPr>
        <w:t xml:space="preserve"> indicator </w:t>
      </w:r>
      <w:r>
        <w:rPr>
          <w:rFonts w:ascii="Times New Roman" w:hAnsi="Times New Roman" w:cs="Times New Roman"/>
          <w:sz w:val="24"/>
          <w:szCs w:val="24"/>
          <w:lang w:val="en-US"/>
        </w:rPr>
        <w:t xml:space="preserve">are </w:t>
      </w:r>
      <w:r w:rsidRPr="002E57B9">
        <w:rPr>
          <w:rFonts w:ascii="Times New Roman" w:hAnsi="Times New Roman" w:cs="Times New Roman"/>
          <w:sz w:val="24"/>
          <w:szCs w:val="24"/>
          <w:lang w:val="en-US"/>
        </w:rPr>
        <w:t>the pricing of environmental damage, gains in leisure</w:t>
      </w:r>
      <w:r>
        <w:rPr>
          <w:rFonts w:ascii="Times New Roman" w:hAnsi="Times New Roman" w:cs="Times New Roman"/>
          <w:sz w:val="24"/>
          <w:szCs w:val="24"/>
          <w:lang w:val="en-US"/>
        </w:rPr>
        <w:t>,</w:t>
      </w:r>
      <w:r w:rsidRPr="002E57B9">
        <w:rPr>
          <w:rFonts w:ascii="Times New Roman" w:hAnsi="Times New Roman" w:cs="Times New Roman"/>
          <w:sz w:val="24"/>
          <w:szCs w:val="24"/>
          <w:lang w:val="en-US"/>
        </w:rPr>
        <w:t xml:space="preserve"> and domestic or volunteer work present in its formula</w:t>
      </w:r>
      <w:r>
        <w:rPr>
          <w:rFonts w:ascii="Times New Roman" w:hAnsi="Times New Roman" w:cs="Times New Roman"/>
          <w:sz w:val="24"/>
          <w:szCs w:val="24"/>
          <w:lang w:val="en-US"/>
        </w:rPr>
        <w:t>tion</w:t>
      </w:r>
      <w:r w:rsidRPr="002E57B9">
        <w:rPr>
          <w:rFonts w:ascii="Times New Roman" w:hAnsi="Times New Roman" w:cs="Times New Roman"/>
          <w:sz w:val="24"/>
          <w:szCs w:val="24"/>
          <w:lang w:val="en-US"/>
        </w:rPr>
        <w:t xml:space="preserve">. According to Lawn (2003), the ISEW was developed to </w:t>
      </w:r>
      <w:r>
        <w:rPr>
          <w:rFonts w:ascii="Times New Roman" w:hAnsi="Times New Roman" w:cs="Times New Roman"/>
          <w:sz w:val="24"/>
          <w:szCs w:val="24"/>
          <w:lang w:val="en-US"/>
        </w:rPr>
        <w:t xml:space="preserve">provide </w:t>
      </w:r>
      <w:r w:rsidRPr="002E57B9">
        <w:rPr>
          <w:rFonts w:ascii="Times New Roman" w:hAnsi="Times New Roman" w:cs="Times New Roman"/>
          <w:sz w:val="24"/>
          <w:szCs w:val="24"/>
          <w:lang w:val="en-US"/>
        </w:rPr>
        <w:t>a more accurate way</w:t>
      </w:r>
      <w:r>
        <w:rPr>
          <w:rFonts w:ascii="Times New Roman" w:hAnsi="Times New Roman" w:cs="Times New Roman"/>
          <w:sz w:val="24"/>
          <w:szCs w:val="24"/>
          <w:lang w:val="en-US"/>
        </w:rPr>
        <w:t xml:space="preserve"> to measure</w:t>
      </w:r>
      <w:r w:rsidRPr="002E57B9">
        <w:rPr>
          <w:rFonts w:ascii="Times New Roman" w:hAnsi="Times New Roman" w:cs="Times New Roman"/>
          <w:sz w:val="24"/>
          <w:szCs w:val="24"/>
          <w:lang w:val="en-US"/>
        </w:rPr>
        <w:t xml:space="preserve"> the social well-being and the sustainability of the economic progress of a country.</w:t>
      </w:r>
      <w:r>
        <w:rPr>
          <w:rFonts w:ascii="Times New Roman" w:hAnsi="Times New Roman" w:cs="Times New Roman"/>
          <w:sz w:val="24"/>
          <w:szCs w:val="24"/>
          <w:lang w:val="en-US"/>
        </w:rPr>
        <w:t xml:space="preserve"> For this, they considered </w:t>
      </w:r>
      <w:r w:rsidRPr="002E57B9">
        <w:rPr>
          <w:rFonts w:ascii="Times New Roman" w:hAnsi="Times New Roman" w:cs="Times New Roman"/>
          <w:sz w:val="24"/>
          <w:szCs w:val="24"/>
          <w:lang w:val="en-US"/>
        </w:rPr>
        <w:t>a sign</w:t>
      </w:r>
      <w:r>
        <w:rPr>
          <w:rFonts w:ascii="Times New Roman" w:hAnsi="Times New Roman" w:cs="Times New Roman"/>
          <w:sz w:val="24"/>
          <w:szCs w:val="24"/>
          <w:lang w:val="en-US"/>
        </w:rPr>
        <w:t xml:space="preserve">ificant number of benefits, </w:t>
      </w:r>
      <w:r w:rsidRPr="002E57B9">
        <w:rPr>
          <w:rFonts w:ascii="Times New Roman" w:hAnsi="Times New Roman" w:cs="Times New Roman"/>
          <w:sz w:val="24"/>
          <w:szCs w:val="24"/>
          <w:lang w:val="en-US"/>
        </w:rPr>
        <w:t>social and environmental costs, beyond invariably of the valuation made by the markets.</w:t>
      </w:r>
      <w:r w:rsidRPr="002E57B9">
        <w:rPr>
          <w:rFonts w:ascii="Times New Roman" w:hAnsi="Times New Roman" w:cs="Times New Roman"/>
          <w:vanish/>
          <w:sz w:val="24"/>
          <w:szCs w:val="24"/>
          <w:lang w:val="en-US"/>
        </w:rPr>
        <w:t>Parte superior do formulário</w:t>
      </w: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w:t>
      </w:r>
      <w:r w:rsidRPr="002E57B9">
        <w:rPr>
          <w:rFonts w:ascii="Times New Roman" w:hAnsi="Times New Roman" w:cs="Times New Roman"/>
          <w:sz w:val="24"/>
          <w:szCs w:val="24"/>
          <w:lang w:val="en-US"/>
        </w:rPr>
        <w:t xml:space="preserve">ittle effort </w:t>
      </w:r>
      <w:r>
        <w:rPr>
          <w:rFonts w:ascii="Times New Roman" w:hAnsi="Times New Roman" w:cs="Times New Roman"/>
          <w:sz w:val="24"/>
          <w:szCs w:val="24"/>
          <w:lang w:val="en-US"/>
        </w:rPr>
        <w:t>was</w:t>
      </w:r>
      <w:r w:rsidRPr="002E57B9">
        <w:rPr>
          <w:rFonts w:ascii="Times New Roman" w:hAnsi="Times New Roman" w:cs="Times New Roman"/>
          <w:sz w:val="24"/>
          <w:szCs w:val="24"/>
          <w:lang w:val="en-US"/>
        </w:rPr>
        <w:t xml:space="preserve"> devoted to the realization of improvemen</w:t>
      </w:r>
      <w:r>
        <w:rPr>
          <w:rFonts w:ascii="Times New Roman" w:hAnsi="Times New Roman" w:cs="Times New Roman"/>
          <w:sz w:val="24"/>
          <w:szCs w:val="24"/>
          <w:lang w:val="en-US"/>
        </w:rPr>
        <w:t xml:space="preserve">ts in the methodology </w:t>
      </w:r>
      <w:r w:rsidRPr="002E57B9">
        <w:rPr>
          <w:rFonts w:ascii="Times New Roman" w:hAnsi="Times New Roman" w:cs="Times New Roman"/>
          <w:sz w:val="24"/>
          <w:szCs w:val="24"/>
          <w:lang w:val="en-US"/>
        </w:rPr>
        <w:t>of this ind</w:t>
      </w:r>
      <w:r>
        <w:rPr>
          <w:rFonts w:ascii="Times New Roman" w:hAnsi="Times New Roman" w:cs="Times New Roman"/>
          <w:sz w:val="24"/>
          <w:szCs w:val="24"/>
          <w:lang w:val="en-US"/>
        </w:rPr>
        <w:t>icator. Thus, the consolidation of the index was compromised</w:t>
      </w:r>
      <w:r w:rsidRPr="002E57B9">
        <w:rPr>
          <w:rFonts w:ascii="Times New Roman" w:hAnsi="Times New Roman" w:cs="Times New Roman"/>
          <w:sz w:val="24"/>
          <w:szCs w:val="24"/>
          <w:lang w:val="en-US"/>
        </w:rPr>
        <w:t xml:space="preserve"> by its weak theoretical foundation.</w:t>
      </w:r>
      <w:r>
        <w:rPr>
          <w:rFonts w:ascii="Times New Roman" w:hAnsi="Times New Roman" w:cs="Times New Roman"/>
          <w:sz w:val="24"/>
          <w:szCs w:val="24"/>
          <w:lang w:val="en-US"/>
        </w:rPr>
        <w:t xml:space="preserve"> </w:t>
      </w:r>
      <w:r w:rsidRPr="00314D9F">
        <w:rPr>
          <w:rFonts w:ascii="Times New Roman" w:hAnsi="Times New Roman" w:cs="Times New Roman"/>
          <w:sz w:val="24"/>
          <w:szCs w:val="24"/>
          <w:lang w:val="en-US"/>
        </w:rPr>
        <w:t>In 2004, the ISEW has been transformed into the Genuine P</w:t>
      </w:r>
      <w:r>
        <w:rPr>
          <w:rFonts w:ascii="Times New Roman" w:hAnsi="Times New Roman" w:cs="Times New Roman"/>
          <w:sz w:val="24"/>
          <w:szCs w:val="24"/>
          <w:lang w:val="en-US"/>
        </w:rPr>
        <w:t>rogress Indicator (GPI), by the</w:t>
      </w:r>
      <w:r w:rsidRPr="00314D9F">
        <w:rPr>
          <w:rFonts w:ascii="Times New Roman" w:hAnsi="Times New Roman" w:cs="Times New Roman"/>
          <w:sz w:val="24"/>
          <w:szCs w:val="24"/>
          <w:lang w:val="en-US"/>
        </w:rPr>
        <w:t xml:space="preserve"> NGO Redef</w:t>
      </w:r>
      <w:r>
        <w:rPr>
          <w:rFonts w:ascii="Times New Roman" w:hAnsi="Times New Roman" w:cs="Times New Roman"/>
          <w:sz w:val="24"/>
          <w:szCs w:val="24"/>
          <w:lang w:val="en-US"/>
        </w:rPr>
        <w:t>ining Progress.</w:t>
      </w: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Since1995 </w:t>
      </w:r>
      <w:r w:rsidRPr="002E57B9">
        <w:rPr>
          <w:rFonts w:ascii="Times New Roman" w:hAnsi="Times New Roman" w:cs="Times New Roman"/>
          <w:sz w:val="24"/>
          <w:szCs w:val="24"/>
          <w:lang w:val="en-US"/>
        </w:rPr>
        <w:t>two new approaches</w:t>
      </w:r>
      <w:r>
        <w:rPr>
          <w:rFonts w:ascii="Times New Roman" w:hAnsi="Times New Roman" w:cs="Times New Roman"/>
          <w:sz w:val="24"/>
          <w:szCs w:val="24"/>
          <w:lang w:val="en-US"/>
        </w:rPr>
        <w:t xml:space="preserve"> have emerged</w:t>
      </w:r>
      <w:r w:rsidRPr="002E57B9">
        <w:rPr>
          <w:rFonts w:ascii="Times New Roman" w:hAnsi="Times New Roman" w:cs="Times New Roman"/>
          <w:sz w:val="24"/>
          <w:szCs w:val="24"/>
          <w:lang w:val="en-US"/>
        </w:rPr>
        <w:t>: (i) composite indices, or synthetic</w:t>
      </w:r>
      <w:r>
        <w:rPr>
          <w:rFonts w:ascii="Times New Roman" w:hAnsi="Times New Roman" w:cs="Times New Roman"/>
          <w:sz w:val="24"/>
          <w:szCs w:val="24"/>
          <w:lang w:val="en-US"/>
        </w:rPr>
        <w:t xml:space="preserve"> ones</w:t>
      </w:r>
      <w:r w:rsidRPr="002E57B9">
        <w:rPr>
          <w:rFonts w:ascii="Times New Roman" w:hAnsi="Times New Roman" w:cs="Times New Roman"/>
          <w:sz w:val="24"/>
          <w:szCs w:val="24"/>
          <w:lang w:val="en-US"/>
        </w:rPr>
        <w:t>, with various dimensions; and ii) indicators focused on the degree of over-consumption, underinvestment or excessive pressure on resources.</w:t>
      </w:r>
      <w:r>
        <w:rPr>
          <w:rFonts w:ascii="Times New Roman" w:hAnsi="Times New Roman" w:cs="Times New Roman"/>
          <w:sz w:val="24"/>
          <w:szCs w:val="24"/>
          <w:lang w:val="en-US"/>
        </w:rPr>
        <w:t xml:space="preserve"> </w:t>
      </w:r>
      <w:r w:rsidRPr="002E57B9">
        <w:rPr>
          <w:rFonts w:ascii="Times New Roman" w:hAnsi="Times New Roman" w:cs="Times New Roman"/>
          <w:sz w:val="24"/>
          <w:szCs w:val="24"/>
          <w:lang w:val="en-US"/>
        </w:rPr>
        <w:t xml:space="preserve">In the first category, the </w:t>
      </w:r>
      <w:r>
        <w:rPr>
          <w:rFonts w:ascii="Times New Roman" w:hAnsi="Times New Roman" w:cs="Times New Roman"/>
          <w:sz w:val="24"/>
          <w:szCs w:val="24"/>
          <w:lang w:val="en-US"/>
        </w:rPr>
        <w:t>most prominent initiative</w:t>
      </w:r>
      <w:r w:rsidRPr="002E57B9">
        <w:rPr>
          <w:rFonts w:ascii="Times New Roman" w:hAnsi="Times New Roman" w:cs="Times New Roman"/>
          <w:sz w:val="24"/>
          <w:szCs w:val="24"/>
          <w:lang w:val="en-US"/>
        </w:rPr>
        <w:t xml:space="preserve"> was the creation of the Environmental Sustainability Index (ESI) and Environmental Performance Index (EPI) by the researc</w:t>
      </w:r>
      <w:r>
        <w:rPr>
          <w:rFonts w:ascii="Times New Roman" w:hAnsi="Times New Roman" w:cs="Times New Roman"/>
          <w:sz w:val="24"/>
          <w:szCs w:val="24"/>
          <w:lang w:val="en-US"/>
        </w:rPr>
        <w:t>hers of Yale and Columbia (ESTES et al, 2005).</w:t>
      </w:r>
      <w:r w:rsidRPr="00CE6603">
        <w:rPr>
          <w:rFonts w:ascii="Times New Roman" w:hAnsi="Times New Roman" w:cs="Times New Roman"/>
          <w:sz w:val="24"/>
          <w:szCs w:val="24"/>
          <w:lang w:val="en-US"/>
        </w:rPr>
        <w:t xml:space="preserve">The first contains 76 variables covering five dimensions while the second is constituted by the same variables, but separated into 21 </w:t>
      </w:r>
      <w:r>
        <w:rPr>
          <w:rFonts w:ascii="Times New Roman" w:hAnsi="Times New Roman" w:cs="Times New Roman"/>
          <w:sz w:val="24"/>
          <w:szCs w:val="24"/>
          <w:lang w:val="en-US"/>
        </w:rPr>
        <w:t xml:space="preserve">intermediary </w:t>
      </w:r>
      <w:r w:rsidRPr="00CE6603">
        <w:rPr>
          <w:rFonts w:ascii="Times New Roman" w:hAnsi="Times New Roman" w:cs="Times New Roman"/>
          <w:sz w:val="24"/>
          <w:szCs w:val="24"/>
          <w:lang w:val="en-US"/>
        </w:rPr>
        <w:t>indicators.</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Despite gathering a large number of information,</w:t>
      </w:r>
      <w:r>
        <w:rPr>
          <w:rFonts w:ascii="Times New Roman" w:hAnsi="Times New Roman" w:cs="Times New Roman"/>
          <w:sz w:val="24"/>
          <w:szCs w:val="24"/>
          <w:lang w:val="en-US"/>
        </w:rPr>
        <w:t xml:space="preserve"> the indicators are precarious statistically,</w:t>
      </w:r>
      <w:r w:rsidRPr="00CE6603">
        <w:rPr>
          <w:rFonts w:ascii="Times New Roman" w:hAnsi="Times New Roman" w:cs="Times New Roman"/>
          <w:sz w:val="24"/>
          <w:szCs w:val="24"/>
          <w:lang w:val="en-US"/>
        </w:rPr>
        <w:t xml:space="preserve"> blend</w:t>
      </w:r>
      <w:r>
        <w:rPr>
          <w:rFonts w:ascii="Times New Roman" w:hAnsi="Times New Roman" w:cs="Times New Roman"/>
          <w:sz w:val="24"/>
          <w:szCs w:val="24"/>
          <w:lang w:val="en-US"/>
        </w:rPr>
        <w:t>ing objective</w:t>
      </w:r>
      <w:r w:rsidRPr="00CE6603">
        <w:rPr>
          <w:rFonts w:ascii="Times New Roman" w:hAnsi="Times New Roman" w:cs="Times New Roman"/>
          <w:sz w:val="24"/>
          <w:szCs w:val="24"/>
          <w:lang w:val="en-US"/>
        </w:rPr>
        <w:t xml:space="preserve"> with subjective</w:t>
      </w:r>
      <w:r>
        <w:rPr>
          <w:rFonts w:ascii="Times New Roman" w:hAnsi="Times New Roman" w:cs="Times New Roman"/>
          <w:sz w:val="24"/>
          <w:szCs w:val="24"/>
          <w:lang w:val="en-US"/>
        </w:rPr>
        <w:t xml:space="preserve"> aspects</w:t>
      </w:r>
      <w:r w:rsidRPr="00CE6603">
        <w:rPr>
          <w:rFonts w:ascii="Times New Roman" w:hAnsi="Times New Roman" w:cs="Times New Roman"/>
          <w:sz w:val="24"/>
          <w:szCs w:val="24"/>
          <w:lang w:val="en-US"/>
        </w:rPr>
        <w:t xml:space="preserve">, for example, a </w:t>
      </w:r>
      <w:r>
        <w:rPr>
          <w:rFonts w:ascii="Times New Roman" w:hAnsi="Times New Roman" w:cs="Times New Roman"/>
          <w:sz w:val="24"/>
          <w:szCs w:val="24"/>
          <w:lang w:val="en-US"/>
        </w:rPr>
        <w:t xml:space="preserve">grade </w:t>
      </w:r>
      <w:r w:rsidRPr="00CE6603">
        <w:rPr>
          <w:rFonts w:ascii="Times New Roman" w:hAnsi="Times New Roman" w:cs="Times New Roman"/>
          <w:sz w:val="24"/>
          <w:szCs w:val="24"/>
          <w:lang w:val="en-US"/>
        </w:rPr>
        <w:t>given to the quality of the environmental agencies of a country.</w:t>
      </w:r>
    </w:p>
    <w:p w:rsidR="00824C5D" w:rsidRPr="00B4647E" w:rsidRDefault="00824C5D" w:rsidP="00824C5D">
      <w:pPr>
        <w:spacing w:line="360" w:lineRule="auto"/>
        <w:ind w:right="-1" w:firstLine="851"/>
        <w:jc w:val="both"/>
        <w:rPr>
          <w:rFonts w:ascii="Times New Roman" w:hAnsi="Times New Roman" w:cs="Times New Roman"/>
          <w:vanish/>
          <w:sz w:val="24"/>
          <w:szCs w:val="24"/>
          <w:lang w:val="en-US"/>
        </w:rPr>
      </w:pPr>
    </w:p>
    <w:p w:rsidR="00824C5D" w:rsidRPr="00B4647E" w:rsidRDefault="00824C5D" w:rsidP="00824C5D">
      <w:pPr>
        <w:spacing w:line="360" w:lineRule="auto"/>
        <w:ind w:right="-1" w:firstLine="851"/>
        <w:jc w:val="both"/>
        <w:rPr>
          <w:rFonts w:ascii="Times New Roman" w:hAnsi="Times New Roman" w:cs="Times New Roman"/>
          <w:vanish/>
          <w:sz w:val="24"/>
          <w:szCs w:val="24"/>
          <w:lang w:val="en-US"/>
        </w:rPr>
      </w:pPr>
      <w:r w:rsidRPr="00CE6603">
        <w:rPr>
          <w:rFonts w:ascii="Times New Roman" w:hAnsi="Times New Roman" w:cs="Times New Roman"/>
          <w:sz w:val="24"/>
          <w:szCs w:val="24"/>
          <w:lang w:val="en-US"/>
        </w:rPr>
        <w:t>In the second category, two indices have gained great visibility: Adjusted Net Savings (ANS) and Ecological F</w:t>
      </w:r>
      <w:r>
        <w:rPr>
          <w:rFonts w:ascii="Times New Roman" w:hAnsi="Times New Roman" w:cs="Times New Roman"/>
          <w:sz w:val="24"/>
          <w:szCs w:val="24"/>
          <w:lang w:val="en-US"/>
        </w:rPr>
        <w:t>ootprint. The ANS</w:t>
      </w:r>
      <w:r w:rsidRPr="00CE6603">
        <w:rPr>
          <w:rFonts w:ascii="Times New Roman" w:hAnsi="Times New Roman" w:cs="Times New Roman"/>
          <w:sz w:val="24"/>
          <w:szCs w:val="24"/>
          <w:lang w:val="en-US"/>
        </w:rPr>
        <w:t>, al</w:t>
      </w:r>
      <w:r>
        <w:rPr>
          <w:rFonts w:ascii="Times New Roman" w:hAnsi="Times New Roman" w:cs="Times New Roman"/>
          <w:sz w:val="24"/>
          <w:szCs w:val="24"/>
          <w:lang w:val="en-US"/>
        </w:rPr>
        <w:t xml:space="preserve">so known as savings genuine, is </w:t>
      </w:r>
      <w:r w:rsidRPr="00CE6603">
        <w:rPr>
          <w:rFonts w:ascii="Times New Roman" w:hAnsi="Times New Roman" w:cs="Times New Roman"/>
          <w:sz w:val="24"/>
          <w:szCs w:val="24"/>
          <w:lang w:val="en-US"/>
        </w:rPr>
        <w:t>focused on the evaluation of wealth rather than income streams (</w:t>
      </w:r>
      <w:r>
        <w:rPr>
          <w:rFonts w:ascii="Times New Roman" w:hAnsi="Times New Roman" w:cs="Times New Roman"/>
          <w:sz w:val="24"/>
          <w:szCs w:val="24"/>
          <w:lang w:val="en-US"/>
        </w:rPr>
        <w:t>World Bank</w:t>
      </w:r>
      <w:r w:rsidRPr="00CE6603">
        <w:rPr>
          <w:rFonts w:ascii="Times New Roman" w:hAnsi="Times New Roman" w:cs="Times New Roman"/>
          <w:sz w:val="24"/>
          <w:szCs w:val="24"/>
          <w:lang w:val="en-US"/>
        </w:rPr>
        <w:t xml:space="preserve">, 2006).It is based on the </w:t>
      </w:r>
      <w:r>
        <w:rPr>
          <w:rFonts w:ascii="Times New Roman" w:hAnsi="Times New Roman" w:cs="Times New Roman"/>
          <w:sz w:val="24"/>
          <w:szCs w:val="24"/>
          <w:lang w:val="en-US"/>
        </w:rPr>
        <w:t xml:space="preserve">concept that sustainability requires </w:t>
      </w:r>
      <w:r w:rsidRPr="00CE6603">
        <w:rPr>
          <w:rFonts w:ascii="Times New Roman" w:hAnsi="Times New Roman" w:cs="Times New Roman"/>
          <w:sz w:val="24"/>
          <w:szCs w:val="24"/>
          <w:lang w:val="en-US"/>
        </w:rPr>
        <w:t>the maintenance of a constant stock of wealth formed by natural resources, physical and human capital.</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However, the indicator has a methodological</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problem</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due to the difficulty of asset pricing, such as natural resources.</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Thus, their results are not c</w:t>
      </w:r>
      <w:r>
        <w:rPr>
          <w:rFonts w:ascii="Times New Roman" w:hAnsi="Times New Roman" w:cs="Times New Roman"/>
          <w:sz w:val="24"/>
          <w:szCs w:val="24"/>
          <w:lang w:val="en-US"/>
        </w:rPr>
        <w:t>onsidered very persuasive (Veiga</w:t>
      </w:r>
      <w:r w:rsidRPr="00CE6603">
        <w:rPr>
          <w:rFonts w:ascii="Times New Roman" w:hAnsi="Times New Roman" w:cs="Times New Roman"/>
          <w:sz w:val="24"/>
          <w:szCs w:val="24"/>
          <w:lang w:val="en-US"/>
        </w:rPr>
        <w:t>, 2009).</w:t>
      </w:r>
    </w:p>
    <w:p w:rsidR="00824C5D" w:rsidRDefault="00824C5D" w:rsidP="00824C5D">
      <w:pPr>
        <w:spacing w:line="360" w:lineRule="auto"/>
        <w:ind w:right="-1" w:firstLine="851"/>
        <w:jc w:val="both"/>
        <w:rPr>
          <w:rFonts w:ascii="Times New Roman" w:hAnsi="Times New Roman" w:cs="Times New Roman"/>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w:t>
      </w:r>
      <w:r w:rsidRPr="00CE6603">
        <w:rPr>
          <w:rFonts w:ascii="Times New Roman" w:hAnsi="Times New Roman" w:cs="Times New Roman"/>
          <w:sz w:val="24"/>
          <w:szCs w:val="24"/>
          <w:lang w:val="en-US"/>
        </w:rPr>
        <w:t>the other hand, the indicator Ecological Footpr</w:t>
      </w:r>
      <w:r>
        <w:rPr>
          <w:rFonts w:ascii="Times New Roman" w:hAnsi="Times New Roman" w:cs="Times New Roman"/>
          <w:sz w:val="24"/>
          <w:szCs w:val="24"/>
          <w:lang w:val="en-US"/>
        </w:rPr>
        <w:t>int</w:t>
      </w:r>
      <w:r w:rsidRPr="00CE6603">
        <w:rPr>
          <w:rFonts w:ascii="Times New Roman" w:hAnsi="Times New Roman" w:cs="Times New Roman"/>
          <w:sz w:val="24"/>
          <w:szCs w:val="24"/>
          <w:lang w:val="en-US"/>
        </w:rPr>
        <w:t xml:space="preserve"> seeks to show the pressure of consumption by human populations on the natural resources.</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Proposed initially by Wackernagel and Rees (1995),</w:t>
      </w:r>
      <w:r>
        <w:rPr>
          <w:rFonts w:ascii="Times New Roman" w:hAnsi="Times New Roman" w:cs="Times New Roman"/>
          <w:sz w:val="24"/>
          <w:szCs w:val="24"/>
          <w:lang w:val="en-US"/>
        </w:rPr>
        <w:t xml:space="preserve"> it allows</w:t>
      </w:r>
      <w:r w:rsidRPr="00CE6603">
        <w:rPr>
          <w:rFonts w:ascii="Times New Roman" w:hAnsi="Times New Roman" w:cs="Times New Roman"/>
          <w:sz w:val="24"/>
          <w:szCs w:val="24"/>
          <w:lang w:val="en-US"/>
        </w:rPr>
        <w:t xml:space="preserve"> to compare different consumption patterns and verify whether they are within the ecological capacity of the planet</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However, this indicator also has inconsistencies in its methodology, for exampl</w:t>
      </w:r>
      <w:r>
        <w:rPr>
          <w:rFonts w:ascii="Times New Roman" w:hAnsi="Times New Roman" w:cs="Times New Roman"/>
          <w:sz w:val="24"/>
          <w:szCs w:val="24"/>
          <w:lang w:val="en-US"/>
        </w:rPr>
        <w:t>e, the weights of its components used</w:t>
      </w:r>
      <w:r w:rsidRPr="00CE6603">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CE6603">
        <w:rPr>
          <w:rFonts w:ascii="Times New Roman" w:hAnsi="Times New Roman" w:cs="Times New Roman"/>
          <w:sz w:val="24"/>
          <w:szCs w:val="24"/>
          <w:lang w:val="en-US"/>
        </w:rPr>
        <w:t xml:space="preserve">measurement, which assign greater relevance to some areas at the </w:t>
      </w:r>
      <w:r>
        <w:rPr>
          <w:rFonts w:ascii="Times New Roman" w:hAnsi="Times New Roman" w:cs="Times New Roman"/>
          <w:sz w:val="24"/>
          <w:szCs w:val="24"/>
          <w:lang w:val="en-US"/>
        </w:rPr>
        <w:t xml:space="preserve">detriment </w:t>
      </w:r>
      <w:r w:rsidRPr="00CE6603">
        <w:rPr>
          <w:rFonts w:ascii="Times New Roman" w:hAnsi="Times New Roman" w:cs="Times New Roman"/>
          <w:sz w:val="24"/>
          <w:szCs w:val="24"/>
          <w:lang w:val="en-US"/>
        </w:rPr>
        <w:t>of others.</w:t>
      </w:r>
    </w:p>
    <w:p w:rsidR="00824C5D" w:rsidRPr="00B4647E" w:rsidRDefault="00824C5D" w:rsidP="00824C5D">
      <w:pPr>
        <w:spacing w:line="360" w:lineRule="auto"/>
        <w:ind w:right="-1" w:firstLine="851"/>
        <w:jc w:val="both"/>
        <w:rPr>
          <w:rFonts w:ascii="Times New Roman" w:hAnsi="Times New Roman" w:cs="Times New Roman"/>
          <w:vanish/>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sidRPr="00CE6603">
        <w:rPr>
          <w:rFonts w:ascii="Times New Roman" w:hAnsi="Times New Roman" w:cs="Times New Roman"/>
          <w:sz w:val="24"/>
          <w:szCs w:val="24"/>
          <w:lang w:val="en-US"/>
        </w:rPr>
        <w:t>Rockstrom et al (2009) inaugurated a new way of approaching global environmental prob</w:t>
      </w:r>
      <w:r>
        <w:rPr>
          <w:rFonts w:ascii="Times New Roman" w:hAnsi="Times New Roman" w:cs="Times New Roman"/>
          <w:sz w:val="24"/>
          <w:szCs w:val="24"/>
          <w:lang w:val="en-US"/>
        </w:rPr>
        <w:t xml:space="preserve">lems. </w:t>
      </w:r>
      <w:r w:rsidRPr="00CE6603">
        <w:rPr>
          <w:rFonts w:ascii="Times New Roman" w:hAnsi="Times New Roman" w:cs="Times New Roman"/>
          <w:sz w:val="24"/>
          <w:szCs w:val="24"/>
          <w:lang w:val="en-US"/>
        </w:rPr>
        <w:t xml:space="preserve">This new </w:t>
      </w:r>
      <w:r>
        <w:rPr>
          <w:rFonts w:ascii="Times New Roman" w:hAnsi="Times New Roman" w:cs="Times New Roman"/>
          <w:sz w:val="24"/>
          <w:szCs w:val="24"/>
          <w:lang w:val="en-US"/>
        </w:rPr>
        <w:t>effort</w:t>
      </w:r>
      <w:r w:rsidRPr="00CE6603">
        <w:rPr>
          <w:rFonts w:ascii="Times New Roman" w:hAnsi="Times New Roman" w:cs="Times New Roman"/>
          <w:sz w:val="24"/>
          <w:szCs w:val="24"/>
          <w:lang w:val="en-US"/>
        </w:rPr>
        <w:t xml:space="preserve">, called planetary boundaries or area of safe operation for </w:t>
      </w:r>
      <w:r>
        <w:rPr>
          <w:rFonts w:ascii="Times New Roman" w:hAnsi="Times New Roman" w:cs="Times New Roman"/>
          <w:sz w:val="24"/>
          <w:szCs w:val="24"/>
          <w:lang w:val="en-US"/>
        </w:rPr>
        <w:t>mankind, appears as an</w:t>
      </w:r>
      <w:r w:rsidRPr="00CE6603">
        <w:rPr>
          <w:rFonts w:ascii="Times New Roman" w:hAnsi="Times New Roman" w:cs="Times New Roman"/>
          <w:sz w:val="24"/>
          <w:szCs w:val="24"/>
          <w:lang w:val="en-US"/>
        </w:rPr>
        <w:t xml:space="preserve"> instrument to assess the trajectory</w:t>
      </w:r>
      <w:r>
        <w:rPr>
          <w:rFonts w:ascii="Times New Roman" w:hAnsi="Times New Roman" w:cs="Times New Roman"/>
          <w:sz w:val="24"/>
          <w:szCs w:val="24"/>
          <w:lang w:val="en-US"/>
        </w:rPr>
        <w:t xml:space="preserve"> of the global governance of the </w:t>
      </w:r>
      <w:r w:rsidRPr="00CE6603">
        <w:rPr>
          <w:rFonts w:ascii="Times New Roman" w:hAnsi="Times New Roman" w:cs="Times New Roman"/>
          <w:sz w:val="24"/>
          <w:szCs w:val="24"/>
          <w:lang w:val="en-US"/>
        </w:rPr>
        <w:t>environment and, in a deeper sense, to reflect on the directio</w:t>
      </w:r>
      <w:r>
        <w:rPr>
          <w:rFonts w:ascii="Times New Roman" w:hAnsi="Times New Roman" w:cs="Times New Roman"/>
          <w:sz w:val="24"/>
          <w:szCs w:val="24"/>
          <w:lang w:val="en-US"/>
        </w:rPr>
        <w:t>n of the civilization</w:t>
      </w:r>
      <w:r w:rsidRPr="00CE660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The c</w:t>
      </w:r>
      <w:r>
        <w:rPr>
          <w:rFonts w:ascii="Times New Roman" w:hAnsi="Times New Roman" w:cs="Times New Roman"/>
          <w:sz w:val="24"/>
          <w:szCs w:val="24"/>
          <w:lang w:val="en-US"/>
        </w:rPr>
        <w:t>entral thesis</w:t>
      </w:r>
      <w:r w:rsidRPr="00CE6603">
        <w:rPr>
          <w:rFonts w:ascii="Times New Roman" w:hAnsi="Times New Roman" w:cs="Times New Roman"/>
          <w:sz w:val="24"/>
          <w:szCs w:val="24"/>
          <w:lang w:val="en-US"/>
        </w:rPr>
        <w:t xml:space="preserve"> is that humans became the main ve</w:t>
      </w:r>
      <w:r>
        <w:rPr>
          <w:rFonts w:ascii="Times New Roman" w:hAnsi="Times New Roman" w:cs="Times New Roman"/>
          <w:sz w:val="24"/>
          <w:szCs w:val="24"/>
          <w:lang w:val="en-US"/>
        </w:rPr>
        <w:t>ctor of systemic global change. So,</w:t>
      </w:r>
      <w:r w:rsidRPr="00CE6603">
        <w:rPr>
          <w:rFonts w:ascii="Times New Roman" w:hAnsi="Times New Roman" w:cs="Times New Roman"/>
          <w:sz w:val="24"/>
          <w:szCs w:val="24"/>
          <w:lang w:val="en-US"/>
        </w:rPr>
        <w:t xml:space="preserve"> the increasing anthropogenic pressure on the planet threatens to destabilize</w:t>
      </w:r>
      <w:r>
        <w:rPr>
          <w:rFonts w:ascii="Times New Roman" w:hAnsi="Times New Roman" w:cs="Times New Roman"/>
          <w:sz w:val="24"/>
          <w:szCs w:val="24"/>
          <w:lang w:val="en-US"/>
        </w:rPr>
        <w:t xml:space="preserve"> </w:t>
      </w:r>
      <w:r w:rsidRPr="00CE6603">
        <w:rPr>
          <w:rFonts w:ascii="Times New Roman" w:hAnsi="Times New Roman" w:cs="Times New Roman"/>
          <w:sz w:val="24"/>
          <w:szCs w:val="24"/>
          <w:lang w:val="en-US"/>
        </w:rPr>
        <w:t>biophysica</w:t>
      </w:r>
      <w:r>
        <w:rPr>
          <w:rFonts w:ascii="Times New Roman" w:hAnsi="Times New Roman" w:cs="Times New Roman"/>
          <w:sz w:val="24"/>
          <w:szCs w:val="24"/>
          <w:lang w:val="en-US"/>
        </w:rPr>
        <w:t>l systems, with</w:t>
      </w:r>
      <w:r w:rsidRPr="00CE6603">
        <w:rPr>
          <w:rFonts w:ascii="Times New Roman" w:hAnsi="Times New Roman" w:cs="Times New Roman"/>
          <w:sz w:val="24"/>
          <w:szCs w:val="24"/>
          <w:lang w:val="en-US"/>
        </w:rPr>
        <w:t xml:space="preserve"> deleterious or even catastrophic </w:t>
      </w:r>
      <w:r>
        <w:rPr>
          <w:rFonts w:ascii="Times New Roman" w:hAnsi="Times New Roman" w:cs="Times New Roman"/>
          <w:sz w:val="24"/>
          <w:szCs w:val="24"/>
          <w:lang w:val="en-US"/>
        </w:rPr>
        <w:t>consequences to our well-being (Viola &amp; Franchini</w:t>
      </w:r>
      <w:r w:rsidRPr="00CE6603">
        <w:rPr>
          <w:rFonts w:ascii="Times New Roman" w:hAnsi="Times New Roman" w:cs="Times New Roman"/>
          <w:sz w:val="24"/>
          <w:szCs w:val="24"/>
          <w:lang w:val="en-US"/>
        </w:rPr>
        <w:t>, 2012).</w:t>
      </w:r>
    </w:p>
    <w:p w:rsidR="00824C5D" w:rsidRPr="00B4647E" w:rsidRDefault="00824C5D" w:rsidP="00824C5D">
      <w:pPr>
        <w:spacing w:line="360" w:lineRule="auto"/>
        <w:ind w:right="-1" w:firstLine="851"/>
        <w:jc w:val="both"/>
        <w:rPr>
          <w:rFonts w:ascii="Times New Roman" w:hAnsi="Times New Roman" w:cs="Times New Roman"/>
          <w:vanish/>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1F2973">
        <w:rPr>
          <w:rFonts w:ascii="Times New Roman" w:hAnsi="Times New Roman" w:cs="Times New Roman"/>
          <w:sz w:val="24"/>
          <w:szCs w:val="24"/>
          <w:lang w:val="en-US"/>
        </w:rPr>
        <w:t>he measure of economic performance</w:t>
      </w:r>
      <w:r>
        <w:rPr>
          <w:rFonts w:ascii="Times New Roman" w:hAnsi="Times New Roman" w:cs="Times New Roman"/>
          <w:sz w:val="24"/>
          <w:szCs w:val="24"/>
          <w:lang w:val="en-US"/>
        </w:rPr>
        <w:t>, which</w:t>
      </w:r>
      <w:r w:rsidRPr="001F2973">
        <w:rPr>
          <w:rFonts w:ascii="Times New Roman" w:hAnsi="Times New Roman" w:cs="Times New Roman"/>
          <w:sz w:val="24"/>
          <w:szCs w:val="24"/>
          <w:lang w:val="en-US"/>
        </w:rPr>
        <w:t xml:space="preserve"> tend</w:t>
      </w:r>
      <w:r>
        <w:rPr>
          <w:rFonts w:ascii="Times New Roman" w:hAnsi="Times New Roman" w:cs="Times New Roman"/>
          <w:sz w:val="24"/>
          <w:szCs w:val="24"/>
          <w:lang w:val="en-US"/>
        </w:rPr>
        <w:t>s</w:t>
      </w:r>
      <w:r w:rsidRPr="001F2973">
        <w:rPr>
          <w:rFonts w:ascii="Times New Roman" w:hAnsi="Times New Roman" w:cs="Times New Roman"/>
          <w:sz w:val="24"/>
          <w:szCs w:val="24"/>
          <w:lang w:val="en-US"/>
        </w:rPr>
        <w:t xml:space="preserve"> to replace the GDP</w:t>
      </w:r>
      <w:r>
        <w:rPr>
          <w:rFonts w:ascii="Times New Roman" w:hAnsi="Times New Roman" w:cs="Times New Roman"/>
          <w:sz w:val="24"/>
          <w:szCs w:val="24"/>
          <w:lang w:val="en-US"/>
        </w:rPr>
        <w:t>, is the “</w:t>
      </w:r>
      <w:r w:rsidRPr="001F2973">
        <w:rPr>
          <w:rFonts w:ascii="Times New Roman" w:hAnsi="Times New Roman" w:cs="Times New Roman"/>
          <w:sz w:val="24"/>
          <w:szCs w:val="24"/>
          <w:lang w:val="en-US"/>
        </w:rPr>
        <w:t xml:space="preserve">actual net </w:t>
      </w:r>
      <w:r>
        <w:rPr>
          <w:rFonts w:ascii="Times New Roman" w:hAnsi="Times New Roman" w:cs="Times New Roman"/>
          <w:sz w:val="24"/>
          <w:szCs w:val="24"/>
          <w:lang w:val="en-US"/>
        </w:rPr>
        <w:t xml:space="preserve">income </w:t>
      </w:r>
      <w:r w:rsidRPr="001F2973">
        <w:rPr>
          <w:rFonts w:ascii="Times New Roman" w:hAnsi="Times New Roman" w:cs="Times New Roman"/>
          <w:sz w:val="24"/>
          <w:szCs w:val="24"/>
          <w:lang w:val="en-US"/>
        </w:rPr>
        <w:t>available per househo</w:t>
      </w:r>
      <w:r>
        <w:rPr>
          <w:rFonts w:ascii="Times New Roman" w:hAnsi="Times New Roman" w:cs="Times New Roman"/>
          <w:sz w:val="24"/>
          <w:szCs w:val="24"/>
          <w:lang w:val="en-US"/>
        </w:rPr>
        <w:t xml:space="preserve">ld”, but it could not </w:t>
      </w:r>
      <w:r w:rsidRPr="001F2973">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properly </w:t>
      </w:r>
      <w:r w:rsidRPr="001F2973">
        <w:rPr>
          <w:rFonts w:ascii="Times New Roman" w:hAnsi="Times New Roman" w:cs="Times New Roman"/>
          <w:sz w:val="24"/>
          <w:szCs w:val="24"/>
          <w:lang w:val="en-US"/>
        </w:rPr>
        <w:t>calculated by the more sophisticated st</w:t>
      </w:r>
      <w:r>
        <w:rPr>
          <w:rFonts w:ascii="Times New Roman" w:hAnsi="Times New Roman" w:cs="Times New Roman"/>
          <w:sz w:val="24"/>
          <w:szCs w:val="24"/>
          <w:lang w:val="en-US"/>
        </w:rPr>
        <w:t>atistics agencies of</w:t>
      </w:r>
      <w:r w:rsidRPr="001F2973">
        <w:rPr>
          <w:rFonts w:ascii="Times New Roman" w:hAnsi="Times New Roman" w:cs="Times New Roman"/>
          <w:sz w:val="24"/>
          <w:szCs w:val="24"/>
          <w:lang w:val="en-US"/>
        </w:rPr>
        <w:t xml:space="preserve"> countries.</w:t>
      </w:r>
      <w:r>
        <w:rPr>
          <w:rFonts w:ascii="Times New Roman" w:hAnsi="Times New Roman" w:cs="Times New Roman"/>
          <w:sz w:val="24"/>
          <w:szCs w:val="24"/>
          <w:lang w:val="en-US"/>
        </w:rPr>
        <w:t xml:space="preserve"> To proceed in such direction </w:t>
      </w:r>
      <w:r w:rsidRPr="001F2973">
        <w:rPr>
          <w:rFonts w:ascii="Times New Roman" w:hAnsi="Times New Roman" w:cs="Times New Roman"/>
          <w:sz w:val="24"/>
          <w:szCs w:val="24"/>
          <w:lang w:val="en-US"/>
        </w:rPr>
        <w:t>was one of the main recommendations of the report produced by the Stiglitz-Sen-Fitoussi</w:t>
      </w:r>
      <w:r>
        <w:rPr>
          <w:rFonts w:ascii="Times New Roman" w:hAnsi="Times New Roman" w:cs="Times New Roman"/>
          <w:sz w:val="24"/>
          <w:szCs w:val="24"/>
          <w:lang w:val="en-US"/>
        </w:rPr>
        <w:t xml:space="preserve"> </w:t>
      </w:r>
      <w:r w:rsidRPr="001F2973">
        <w:rPr>
          <w:rFonts w:ascii="Times New Roman" w:hAnsi="Times New Roman" w:cs="Times New Roman"/>
          <w:sz w:val="24"/>
          <w:szCs w:val="24"/>
          <w:lang w:val="en-US"/>
        </w:rPr>
        <w:t xml:space="preserve">Commission (2009), which was formed in 2008 by the </w:t>
      </w:r>
      <w:r>
        <w:rPr>
          <w:rFonts w:ascii="Times New Roman" w:hAnsi="Times New Roman" w:cs="Times New Roman"/>
          <w:sz w:val="24"/>
          <w:szCs w:val="24"/>
          <w:lang w:val="en-US"/>
        </w:rPr>
        <w:t>then P</w:t>
      </w:r>
      <w:r w:rsidRPr="001F2973">
        <w:rPr>
          <w:rFonts w:ascii="Times New Roman" w:hAnsi="Times New Roman" w:cs="Times New Roman"/>
          <w:sz w:val="24"/>
          <w:szCs w:val="24"/>
          <w:lang w:val="en-US"/>
        </w:rPr>
        <w:t>resident of France, Nicolas Sarkozy, in response to the growing concerns about the effectiveness of current measures of economic performance, in particular those related to GDP.</w:t>
      </w:r>
      <w:r>
        <w:rPr>
          <w:rFonts w:ascii="Times New Roman" w:hAnsi="Times New Roman" w:cs="Times New Roman"/>
          <w:sz w:val="24"/>
          <w:szCs w:val="24"/>
          <w:lang w:val="en-US"/>
        </w:rPr>
        <w:t xml:space="preserve"> </w:t>
      </w:r>
      <w:r w:rsidRPr="001F2973">
        <w:rPr>
          <w:rFonts w:ascii="Times New Roman" w:hAnsi="Times New Roman" w:cs="Times New Roman"/>
          <w:sz w:val="24"/>
          <w:szCs w:val="24"/>
          <w:lang w:val="en-US"/>
        </w:rPr>
        <w:t>Thus, this international commission had as its objective to align the indicators of social well-being that really contribute to the quality</w:t>
      </w:r>
      <w:r>
        <w:rPr>
          <w:rFonts w:ascii="Times New Roman" w:hAnsi="Times New Roman" w:cs="Times New Roman"/>
          <w:sz w:val="24"/>
          <w:szCs w:val="24"/>
          <w:lang w:val="en-US"/>
        </w:rPr>
        <w:t xml:space="preserve"> of life (Stiglitz et al, 2010).</w:t>
      </w:r>
    </w:p>
    <w:p w:rsidR="00824C5D" w:rsidRPr="00B4647E" w:rsidRDefault="00824C5D" w:rsidP="00824C5D">
      <w:pPr>
        <w:spacing w:line="360" w:lineRule="auto"/>
        <w:ind w:right="-1" w:firstLine="851"/>
        <w:jc w:val="both"/>
        <w:rPr>
          <w:rFonts w:ascii="Times New Roman" w:hAnsi="Times New Roman" w:cs="Times New Roman"/>
          <w:vanish/>
          <w:sz w:val="24"/>
          <w:szCs w:val="24"/>
          <w:lang w:val="en-US"/>
        </w:rPr>
      </w:pPr>
    </w:p>
    <w:p w:rsidR="00824C5D" w:rsidRPr="007D51C6" w:rsidRDefault="00824C5D" w:rsidP="00824C5D">
      <w:pPr>
        <w:spacing w:before="240" w:after="20"/>
        <w:ind w:right="-1"/>
        <w:jc w:val="both"/>
        <w:rPr>
          <w:rFonts w:ascii="Times New Roman" w:hAnsi="Times New Roman" w:cs="Times New Roman"/>
          <w:b/>
          <w:sz w:val="24"/>
          <w:szCs w:val="24"/>
          <w:lang w:val="en-US"/>
        </w:rPr>
      </w:pPr>
      <w:r w:rsidRPr="007D51C6">
        <w:rPr>
          <w:rFonts w:ascii="Times New Roman" w:hAnsi="Times New Roman" w:cs="Times New Roman"/>
          <w:b/>
          <w:sz w:val="24"/>
          <w:szCs w:val="24"/>
          <w:lang w:val="en-US"/>
        </w:rPr>
        <w:t>2. Magic Triangle</w:t>
      </w:r>
    </w:p>
    <w:p w:rsidR="00824C5D" w:rsidRDefault="00824C5D" w:rsidP="00824C5D">
      <w:pPr>
        <w:spacing w:before="240" w:after="20"/>
        <w:ind w:right="-1"/>
        <w:jc w:val="both"/>
        <w:rPr>
          <w:rFonts w:ascii="Times New Roman" w:hAnsi="Times New Roman" w:cs="Times New Roman"/>
          <w:sz w:val="24"/>
          <w:szCs w:val="24"/>
          <w:lang w:val="en-US"/>
        </w:rPr>
      </w:pPr>
    </w:p>
    <w:p w:rsidR="00824C5D" w:rsidRPr="00B4647E" w:rsidRDefault="00824C5D" w:rsidP="00824C5D">
      <w:pPr>
        <w:spacing w:before="20" w:after="20" w:line="360" w:lineRule="auto"/>
        <w:ind w:right="-1" w:firstLine="851"/>
        <w:jc w:val="both"/>
        <w:rPr>
          <w:rFonts w:ascii="Times New Roman" w:hAnsi="Times New Roman" w:cs="Times New Roman"/>
          <w:vanish/>
          <w:sz w:val="24"/>
          <w:szCs w:val="24"/>
          <w:lang w:val="en-US"/>
        </w:rPr>
      </w:pPr>
      <w:r w:rsidRPr="00C93B66">
        <w:rPr>
          <w:rFonts w:ascii="Times New Roman" w:hAnsi="Times New Roman" w:cs="Times New Roman"/>
          <w:sz w:val="24"/>
          <w:szCs w:val="24"/>
          <w:lang w:val="en-US"/>
        </w:rPr>
        <w:t xml:space="preserve">In the quest to contribute in this area of measurement by means of indicators that are multi-varied, the use of the Magic </w:t>
      </w:r>
      <w:r>
        <w:rPr>
          <w:rFonts w:ascii="Times New Roman" w:hAnsi="Times New Roman" w:cs="Times New Roman"/>
          <w:sz w:val="24"/>
          <w:szCs w:val="24"/>
          <w:lang w:val="en-US"/>
        </w:rPr>
        <w:t xml:space="preserve">Square of Kaldorian inspiration </w:t>
      </w:r>
      <w:r w:rsidRPr="00C93B66">
        <w:rPr>
          <w:rFonts w:ascii="Times New Roman" w:hAnsi="Times New Roman" w:cs="Times New Roman"/>
          <w:sz w:val="24"/>
          <w:szCs w:val="24"/>
          <w:lang w:val="en-US"/>
        </w:rPr>
        <w:t>appears as an appropriate analytical tool, since it allows for the comparison of results between countries of different levels of development</w:t>
      </w:r>
      <w:r>
        <w:rPr>
          <w:rFonts w:ascii="Times New Roman" w:hAnsi="Times New Roman" w:cs="Times New Roman"/>
          <w:sz w:val="24"/>
          <w:szCs w:val="24"/>
          <w:lang w:val="en-US"/>
        </w:rPr>
        <w:t xml:space="preserve">. </w:t>
      </w:r>
      <w:r>
        <w:rPr>
          <w:rFonts w:ascii="Times New Roman" w:hAnsi="Times New Roman" w:cs="Times New Roman"/>
          <w:vanish/>
          <w:sz w:val="24"/>
          <w:szCs w:val="24"/>
          <w:lang w:val="en-US"/>
        </w:rPr>
        <w:t xml:space="preserve">. </w:t>
      </w:r>
      <w:r w:rsidRPr="00E4652E">
        <w:rPr>
          <w:rFonts w:ascii="Times New Roman" w:hAnsi="Times New Roman" w:cs="Times New Roman"/>
          <w:sz w:val="24"/>
          <w:szCs w:val="24"/>
          <w:lang w:val="en-US"/>
        </w:rPr>
        <w:t xml:space="preserve">It </w:t>
      </w:r>
      <w:r>
        <w:rPr>
          <w:rFonts w:ascii="Times New Roman" w:hAnsi="Times New Roman" w:cs="Times New Roman"/>
          <w:sz w:val="24"/>
          <w:szCs w:val="24"/>
          <w:lang w:val="en-US"/>
        </w:rPr>
        <w:t>permits</w:t>
      </w:r>
      <w:r w:rsidRPr="00E4652E">
        <w:rPr>
          <w:rFonts w:ascii="Times New Roman" w:hAnsi="Times New Roman" w:cs="Times New Roman"/>
          <w:sz w:val="24"/>
          <w:szCs w:val="24"/>
          <w:lang w:val="en-US"/>
        </w:rPr>
        <w:t xml:space="preserve"> the study of several variables simultaneously and a </w:t>
      </w:r>
      <w:r>
        <w:rPr>
          <w:rFonts w:ascii="Times New Roman" w:hAnsi="Times New Roman" w:cs="Times New Roman"/>
          <w:sz w:val="24"/>
          <w:szCs w:val="24"/>
          <w:lang w:val="en-US"/>
        </w:rPr>
        <w:t xml:space="preserve">more direct comparative performance, evolving </w:t>
      </w:r>
      <w:r w:rsidRPr="00E4652E">
        <w:rPr>
          <w:rFonts w:ascii="Times New Roman" w:hAnsi="Times New Roman" w:cs="Times New Roman"/>
          <w:sz w:val="24"/>
          <w:szCs w:val="24"/>
          <w:lang w:val="en-US"/>
        </w:rPr>
        <w:t>socioeconomic and environmental issue of sustainable development.</w:t>
      </w:r>
      <w:r>
        <w:rPr>
          <w:rFonts w:ascii="Times New Roman" w:hAnsi="Times New Roman" w:cs="Times New Roman"/>
          <w:sz w:val="24"/>
          <w:szCs w:val="24"/>
          <w:lang w:val="en-US"/>
        </w:rPr>
        <w:t xml:space="preserve"> </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sidRPr="00E4652E">
        <w:rPr>
          <w:rFonts w:ascii="Times New Roman" w:hAnsi="Times New Roman" w:cs="Times New Roman"/>
          <w:sz w:val="24"/>
          <w:szCs w:val="24"/>
          <w:lang w:val="en-US"/>
        </w:rPr>
        <w:t xml:space="preserve">The idea of evaluating and comparing </w:t>
      </w:r>
      <w:r>
        <w:rPr>
          <w:rFonts w:ascii="Times New Roman" w:hAnsi="Times New Roman" w:cs="Times New Roman"/>
          <w:sz w:val="24"/>
          <w:szCs w:val="24"/>
          <w:lang w:val="en-US"/>
        </w:rPr>
        <w:t>the accomplishment of</w:t>
      </w:r>
      <w:r w:rsidRPr="00E4652E">
        <w:rPr>
          <w:rFonts w:ascii="Times New Roman" w:hAnsi="Times New Roman" w:cs="Times New Roman"/>
          <w:sz w:val="24"/>
          <w:szCs w:val="24"/>
          <w:lang w:val="en-US"/>
        </w:rPr>
        <w:t xml:space="preserve"> countries appeared in a seminal paper of Kaldor (1971), in which the author has studied the macroeconomic performance of the United Kingdom.</w:t>
      </w:r>
      <w:r>
        <w:rPr>
          <w:rFonts w:ascii="Times New Roman" w:hAnsi="Times New Roman" w:cs="Times New Roman"/>
          <w:sz w:val="24"/>
          <w:szCs w:val="24"/>
          <w:lang w:val="en-US"/>
        </w:rPr>
        <w:t xml:space="preserve"> </w:t>
      </w:r>
      <w:r w:rsidRPr="00E4652E">
        <w:rPr>
          <w:rFonts w:ascii="Times New Roman" w:hAnsi="Times New Roman" w:cs="Times New Roman"/>
          <w:sz w:val="24"/>
          <w:szCs w:val="24"/>
          <w:lang w:val="en-US"/>
        </w:rPr>
        <w:t xml:space="preserve">The analysis was performed using four variables (inflation, balance of payments, unemployment, and income), but did not </w:t>
      </w:r>
      <w:r>
        <w:rPr>
          <w:rFonts w:ascii="Times New Roman" w:hAnsi="Times New Roman" w:cs="Times New Roman"/>
          <w:sz w:val="24"/>
          <w:szCs w:val="24"/>
          <w:lang w:val="en-US"/>
        </w:rPr>
        <w:t>contain</w:t>
      </w:r>
      <w:r w:rsidRPr="00E4652E">
        <w:rPr>
          <w:rFonts w:ascii="Times New Roman" w:hAnsi="Times New Roman" w:cs="Times New Roman"/>
          <w:sz w:val="24"/>
          <w:szCs w:val="24"/>
          <w:lang w:val="en-US"/>
        </w:rPr>
        <w:t xml:space="preserve"> mathematic</w:t>
      </w:r>
      <w:r>
        <w:rPr>
          <w:rFonts w:ascii="Times New Roman" w:hAnsi="Times New Roman" w:cs="Times New Roman"/>
          <w:sz w:val="24"/>
          <w:szCs w:val="24"/>
          <w:lang w:val="en-US"/>
        </w:rPr>
        <w:t>s</w:t>
      </w:r>
      <w:r w:rsidRPr="00E4652E">
        <w:rPr>
          <w:rFonts w:ascii="Times New Roman" w:hAnsi="Times New Roman" w:cs="Times New Roman"/>
          <w:sz w:val="24"/>
          <w:szCs w:val="24"/>
          <w:lang w:val="en-US"/>
        </w:rPr>
        <w:t xml:space="preserve"> or diagrams.</w:t>
      </w:r>
      <w:r w:rsidR="00FA3EA9">
        <w:rPr>
          <w:rFonts w:ascii="Times New Roman" w:hAnsi="Times New Roman" w:cs="Times New Roman"/>
          <w:sz w:val="24"/>
          <w:szCs w:val="24"/>
          <w:lang w:val="en-US"/>
        </w:rPr>
        <w:t xml:space="preserve"> </w:t>
      </w:r>
      <w:r w:rsidRPr="00E4652E">
        <w:rPr>
          <w:rFonts w:ascii="Times New Roman" w:hAnsi="Times New Roman" w:cs="Times New Roman"/>
          <w:sz w:val="24"/>
          <w:szCs w:val="24"/>
          <w:lang w:val="en-US"/>
        </w:rPr>
        <w:t>With this in mind, Karl Schiller introduced a graphical representation of the ideas of Kaldor during the decade of 1970, which has been applied by researchers of the OECD. This diagram was called “Magic Square”.</w:t>
      </w:r>
      <w:r w:rsidR="00FA3EA9">
        <w:rPr>
          <w:rFonts w:ascii="Times New Roman" w:hAnsi="Times New Roman" w:cs="Times New Roman"/>
          <w:sz w:val="24"/>
          <w:szCs w:val="24"/>
          <w:lang w:val="en-US"/>
        </w:rPr>
        <w:t xml:space="preserve"> </w:t>
      </w:r>
      <w:r w:rsidRPr="00E4652E">
        <w:rPr>
          <w:rFonts w:ascii="Times New Roman" w:hAnsi="Times New Roman" w:cs="Times New Roman"/>
          <w:sz w:val="24"/>
          <w:szCs w:val="24"/>
          <w:lang w:val="en-US"/>
        </w:rPr>
        <w:t xml:space="preserve">This geometric vision was extended by Medrano-B and Teixeira (2013) </w:t>
      </w:r>
      <w:r>
        <w:rPr>
          <w:rFonts w:ascii="Times New Roman" w:hAnsi="Times New Roman" w:cs="Times New Roman"/>
          <w:sz w:val="24"/>
          <w:szCs w:val="24"/>
          <w:lang w:val="en-US"/>
        </w:rPr>
        <w:t xml:space="preserve">and </w:t>
      </w:r>
      <w:r w:rsidRPr="00E4652E">
        <w:rPr>
          <w:rFonts w:ascii="Times New Roman" w:hAnsi="Times New Roman" w:cs="Times New Roman"/>
          <w:sz w:val="24"/>
          <w:szCs w:val="24"/>
          <w:lang w:val="en-US"/>
        </w:rPr>
        <w:t>provide</w:t>
      </w:r>
      <w:r>
        <w:rPr>
          <w:rFonts w:ascii="Times New Roman" w:hAnsi="Times New Roman" w:cs="Times New Roman"/>
          <w:sz w:val="24"/>
          <w:szCs w:val="24"/>
          <w:lang w:val="en-US"/>
        </w:rPr>
        <w:t>s</w:t>
      </w:r>
      <w:r w:rsidRPr="00E4652E">
        <w:rPr>
          <w:rFonts w:ascii="Times New Roman" w:hAnsi="Times New Roman" w:cs="Times New Roman"/>
          <w:sz w:val="24"/>
          <w:szCs w:val="24"/>
          <w:lang w:val="en-US"/>
        </w:rPr>
        <w:t xml:space="preserve"> a numerical evaluation of the area of the figure, which before could not be done due</w:t>
      </w:r>
      <w:r>
        <w:rPr>
          <w:rFonts w:ascii="Times New Roman" w:hAnsi="Times New Roman" w:cs="Times New Roman"/>
          <w:sz w:val="24"/>
          <w:szCs w:val="24"/>
          <w:lang w:val="en-US"/>
        </w:rPr>
        <w:t xml:space="preserve"> properly</w:t>
      </w:r>
      <w:r w:rsidRPr="00E4652E">
        <w:rPr>
          <w:rFonts w:ascii="Times New Roman" w:hAnsi="Times New Roman" w:cs="Times New Roman"/>
          <w:sz w:val="24"/>
          <w:szCs w:val="24"/>
          <w:lang w:val="en-US"/>
        </w:rPr>
        <w:t xml:space="preserve"> to the different</w:t>
      </w:r>
      <w:r>
        <w:rPr>
          <w:rFonts w:ascii="Times New Roman" w:hAnsi="Times New Roman" w:cs="Times New Roman"/>
          <w:sz w:val="24"/>
          <w:szCs w:val="24"/>
          <w:lang w:val="en-US"/>
        </w:rPr>
        <w:t xml:space="preserve"> units of the </w:t>
      </w:r>
      <w:r w:rsidRPr="00E4652E">
        <w:rPr>
          <w:rFonts w:ascii="Times New Roman" w:hAnsi="Times New Roman" w:cs="Times New Roman"/>
          <w:sz w:val="24"/>
          <w:szCs w:val="24"/>
          <w:lang w:val="en-US"/>
        </w:rPr>
        <w:t>variables</w:t>
      </w:r>
      <w:r>
        <w:rPr>
          <w:rFonts w:ascii="Times New Roman" w:hAnsi="Times New Roman" w:cs="Times New Roman"/>
          <w:sz w:val="24"/>
          <w:szCs w:val="24"/>
          <w:lang w:val="en-US"/>
        </w:rPr>
        <w:t>’ dimension</w:t>
      </w:r>
      <w:r w:rsidRPr="00E4652E">
        <w:rPr>
          <w:rFonts w:ascii="Times New Roman" w:hAnsi="Times New Roman" w:cs="Times New Roman"/>
          <w:sz w:val="24"/>
          <w:szCs w:val="24"/>
          <w:lang w:val="en-US"/>
        </w:rPr>
        <w:t>.</w:t>
      </w:r>
    </w:p>
    <w:p w:rsidR="00824C5D" w:rsidRPr="00B4647E" w:rsidRDefault="00824C5D" w:rsidP="00824C5D">
      <w:pPr>
        <w:spacing w:before="20" w:after="20" w:line="360" w:lineRule="auto"/>
        <w:ind w:right="-1" w:firstLine="851"/>
        <w:jc w:val="both"/>
        <w:rPr>
          <w:rFonts w:ascii="Times New Roman" w:hAnsi="Times New Roman" w:cs="Times New Roman"/>
          <w:vanish/>
          <w:sz w:val="24"/>
          <w:szCs w:val="24"/>
          <w:lang w:val="en-US"/>
        </w:rPr>
      </w:pP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sidRPr="00121FDA">
        <w:rPr>
          <w:rFonts w:ascii="Times New Roman" w:hAnsi="Times New Roman" w:cs="Times New Roman"/>
          <w:sz w:val="24"/>
          <w:szCs w:val="24"/>
          <w:lang w:val="en-US"/>
        </w:rPr>
        <w:t>The index proposed by Medrano</w:t>
      </w:r>
      <w:r>
        <w:rPr>
          <w:rFonts w:ascii="Times New Roman" w:hAnsi="Times New Roman" w:cs="Times New Roman"/>
          <w:sz w:val="24"/>
          <w:szCs w:val="24"/>
          <w:lang w:val="en-US"/>
        </w:rPr>
        <w:t>-B</w:t>
      </w:r>
      <w:r w:rsidRPr="00121FDA">
        <w:rPr>
          <w:rFonts w:ascii="Times New Roman" w:hAnsi="Times New Roman" w:cs="Times New Roman"/>
          <w:sz w:val="24"/>
          <w:szCs w:val="24"/>
          <w:lang w:val="en-US"/>
        </w:rPr>
        <w:t xml:space="preserve"> and Teixeira (2013) from the Magic Square is based on the country ideal (wonderland).This concept is constructed by means of intervals that establish values of maximum and minimum for each variable.</w:t>
      </w:r>
      <w:r w:rsidR="00FA3EA9">
        <w:rPr>
          <w:rFonts w:ascii="Times New Roman" w:hAnsi="Times New Roman" w:cs="Times New Roman"/>
          <w:sz w:val="24"/>
          <w:szCs w:val="24"/>
          <w:lang w:val="en-US"/>
        </w:rPr>
        <w:t xml:space="preserve"> </w:t>
      </w:r>
      <w:r w:rsidRPr="00121FDA">
        <w:rPr>
          <w:rFonts w:ascii="Times New Roman" w:hAnsi="Times New Roman" w:cs="Times New Roman"/>
          <w:sz w:val="24"/>
          <w:szCs w:val="24"/>
          <w:lang w:val="en-US"/>
        </w:rPr>
        <w:t xml:space="preserve">In this sense, the larger </w:t>
      </w:r>
      <w:r>
        <w:rPr>
          <w:rFonts w:ascii="Times New Roman" w:hAnsi="Times New Roman" w:cs="Times New Roman"/>
          <w:sz w:val="24"/>
          <w:szCs w:val="24"/>
          <w:lang w:val="en-US"/>
        </w:rPr>
        <w:t>the area of the country in the Magic S</w:t>
      </w:r>
      <w:r w:rsidRPr="00121FDA">
        <w:rPr>
          <w:rFonts w:ascii="Times New Roman" w:hAnsi="Times New Roman" w:cs="Times New Roman"/>
          <w:sz w:val="24"/>
          <w:szCs w:val="24"/>
          <w:lang w:val="en-US"/>
        </w:rPr>
        <w:t>quare, the better will be the resu</w:t>
      </w:r>
      <w:r>
        <w:rPr>
          <w:rFonts w:ascii="Times New Roman" w:hAnsi="Times New Roman" w:cs="Times New Roman"/>
          <w:sz w:val="24"/>
          <w:szCs w:val="24"/>
          <w:lang w:val="en-US"/>
        </w:rPr>
        <w:t xml:space="preserve">lts obtained and the closer </w:t>
      </w:r>
      <w:r w:rsidRPr="00121FDA">
        <w:rPr>
          <w:rFonts w:ascii="Times New Roman" w:hAnsi="Times New Roman" w:cs="Times New Roman"/>
          <w:sz w:val="24"/>
          <w:szCs w:val="24"/>
          <w:lang w:val="en-US"/>
        </w:rPr>
        <w:t xml:space="preserve">the country </w:t>
      </w:r>
      <w:r>
        <w:rPr>
          <w:rFonts w:ascii="Times New Roman" w:hAnsi="Times New Roman" w:cs="Times New Roman"/>
          <w:sz w:val="24"/>
          <w:szCs w:val="24"/>
          <w:lang w:val="en-US"/>
        </w:rPr>
        <w:t xml:space="preserve">will be </w:t>
      </w:r>
      <w:r w:rsidRPr="00121FDA">
        <w:rPr>
          <w:rFonts w:ascii="Times New Roman" w:hAnsi="Times New Roman" w:cs="Times New Roman"/>
          <w:sz w:val="24"/>
          <w:szCs w:val="24"/>
          <w:lang w:val="en-US"/>
        </w:rPr>
        <w:t>in relation to the optimal performance.</w:t>
      </w:r>
      <w:r w:rsidR="00FA3EA9">
        <w:rPr>
          <w:rFonts w:ascii="Times New Roman" w:hAnsi="Times New Roman" w:cs="Times New Roman"/>
          <w:sz w:val="24"/>
          <w:szCs w:val="24"/>
          <w:lang w:val="en-US"/>
        </w:rPr>
        <w:t xml:space="preserve"> </w:t>
      </w:r>
      <w:r w:rsidRPr="00121FDA">
        <w:rPr>
          <w:rFonts w:ascii="Times New Roman" w:hAnsi="Times New Roman" w:cs="Times New Roman"/>
          <w:sz w:val="24"/>
          <w:szCs w:val="24"/>
          <w:lang w:val="en-US"/>
        </w:rPr>
        <w:t>As mentioned by Alouini (2012), it is very difficult for a nation to achieve a good result in all the parameters present in the geometric figure.</w:t>
      </w:r>
      <w:r w:rsidR="00FA3EA9">
        <w:rPr>
          <w:rFonts w:ascii="Times New Roman" w:hAnsi="Times New Roman" w:cs="Times New Roman"/>
          <w:sz w:val="24"/>
          <w:szCs w:val="24"/>
          <w:lang w:val="en-US"/>
        </w:rPr>
        <w:t xml:space="preserve"> </w:t>
      </w:r>
      <w:r w:rsidRPr="00121FDA">
        <w:rPr>
          <w:rFonts w:ascii="Times New Roman" w:hAnsi="Times New Roman" w:cs="Times New Roman"/>
          <w:sz w:val="24"/>
          <w:szCs w:val="24"/>
          <w:lang w:val="en-US"/>
        </w:rPr>
        <w:t>In this way, the</w:t>
      </w:r>
      <w:r>
        <w:rPr>
          <w:rFonts w:ascii="Times New Roman" w:hAnsi="Times New Roman" w:cs="Times New Roman"/>
          <w:sz w:val="24"/>
          <w:szCs w:val="24"/>
          <w:lang w:val="en-US"/>
        </w:rPr>
        <w:t xml:space="preserve"> definition of a country ideal, </w:t>
      </w:r>
      <w:r w:rsidRPr="00121FDA">
        <w:rPr>
          <w:rFonts w:ascii="Times New Roman" w:hAnsi="Times New Roman" w:cs="Times New Roman"/>
          <w:sz w:val="24"/>
          <w:szCs w:val="24"/>
          <w:lang w:val="en-US"/>
        </w:rPr>
        <w:t xml:space="preserve">even being a great quantitative </w:t>
      </w:r>
      <w:r>
        <w:rPr>
          <w:rFonts w:ascii="Times New Roman" w:hAnsi="Times New Roman" w:cs="Times New Roman"/>
          <w:sz w:val="24"/>
          <w:szCs w:val="24"/>
          <w:lang w:val="en-US"/>
        </w:rPr>
        <w:t xml:space="preserve">criterion of comparison, </w:t>
      </w:r>
      <w:r w:rsidRPr="00121FDA">
        <w:rPr>
          <w:rFonts w:ascii="Times New Roman" w:hAnsi="Times New Roman" w:cs="Times New Roman"/>
          <w:sz w:val="24"/>
          <w:szCs w:val="24"/>
          <w:lang w:val="en-US"/>
        </w:rPr>
        <w:t>is difficult to be achieved.</w:t>
      </w:r>
    </w:p>
    <w:p w:rsidR="00824C5D" w:rsidRPr="00B4647E" w:rsidRDefault="00824C5D" w:rsidP="00824C5D">
      <w:pPr>
        <w:spacing w:before="20" w:after="20" w:line="360" w:lineRule="auto"/>
        <w:ind w:right="-1" w:firstLine="851"/>
        <w:jc w:val="both"/>
        <w:rPr>
          <w:rFonts w:ascii="Times New Roman" w:hAnsi="Times New Roman" w:cs="Times New Roman"/>
          <w:vanish/>
          <w:sz w:val="24"/>
          <w:szCs w:val="24"/>
          <w:lang w:val="en-US"/>
        </w:rPr>
      </w:pPr>
    </w:p>
    <w:p w:rsidR="00824C5D" w:rsidRDefault="00824C5D" w:rsidP="00824C5D">
      <w:pPr>
        <w:spacing w:before="20" w:after="20" w:line="360" w:lineRule="auto"/>
        <w:ind w:right="-1" w:firstLine="708"/>
        <w:jc w:val="both"/>
        <w:rPr>
          <w:rFonts w:ascii="Times New Roman" w:hAnsi="Times New Roman" w:cs="Times New Roman"/>
          <w:sz w:val="24"/>
          <w:szCs w:val="24"/>
          <w:lang w:val="en-US"/>
        </w:rPr>
      </w:pPr>
      <w:r w:rsidRPr="00E4652E">
        <w:rPr>
          <w:rFonts w:ascii="Times New Roman" w:hAnsi="Times New Roman" w:cs="Times New Roman"/>
          <w:sz w:val="24"/>
          <w:szCs w:val="24"/>
          <w:lang w:val="en-US"/>
        </w:rPr>
        <w:t>However, the use of the “Magic Square” as the analytical instrument is not limited to the macroeconomic.</w:t>
      </w:r>
      <w:r w:rsidR="00FA3EA9">
        <w:rPr>
          <w:rFonts w:ascii="Times New Roman" w:hAnsi="Times New Roman" w:cs="Times New Roman"/>
          <w:sz w:val="24"/>
          <w:szCs w:val="24"/>
          <w:lang w:val="en-US"/>
        </w:rPr>
        <w:t xml:space="preserve"> </w:t>
      </w:r>
      <w:r w:rsidRPr="00E4652E">
        <w:rPr>
          <w:rFonts w:ascii="Times New Roman" w:hAnsi="Times New Roman" w:cs="Times New Roman"/>
          <w:sz w:val="24"/>
          <w:szCs w:val="24"/>
          <w:lang w:val="en-US"/>
        </w:rPr>
        <w:t>The index may favor different interpretations, depending on the variables chosen to compose it. This theory was tested in the article of Teix</w:t>
      </w:r>
      <w:r>
        <w:rPr>
          <w:rFonts w:ascii="Times New Roman" w:hAnsi="Times New Roman" w:cs="Times New Roman"/>
          <w:sz w:val="24"/>
          <w:szCs w:val="24"/>
          <w:lang w:val="en-US"/>
        </w:rPr>
        <w:t>eira, Pinheiro and Vilasboas (2015), where it</w:t>
      </w:r>
      <w:r w:rsidRPr="00E4652E">
        <w:rPr>
          <w:rFonts w:ascii="Times New Roman" w:hAnsi="Times New Roman" w:cs="Times New Roman"/>
          <w:sz w:val="24"/>
          <w:szCs w:val="24"/>
          <w:lang w:val="en-US"/>
        </w:rPr>
        <w:t xml:space="preserve"> was used to compare the performance of China and the U</w:t>
      </w:r>
      <w:r>
        <w:rPr>
          <w:rFonts w:ascii="Times New Roman" w:hAnsi="Times New Roman" w:cs="Times New Roman"/>
          <w:sz w:val="24"/>
          <w:szCs w:val="24"/>
          <w:lang w:val="en-US"/>
        </w:rPr>
        <w:t>SA</w:t>
      </w:r>
      <w:r w:rsidRPr="00E4652E">
        <w:rPr>
          <w:rFonts w:ascii="Times New Roman" w:hAnsi="Times New Roman" w:cs="Times New Roman"/>
          <w:sz w:val="24"/>
          <w:szCs w:val="24"/>
          <w:lang w:val="en-US"/>
        </w:rPr>
        <w:t xml:space="preserve"> in relation to a sustainable development.</w:t>
      </w:r>
      <w:r w:rsidR="00FA3EA9">
        <w:rPr>
          <w:rFonts w:ascii="Times New Roman" w:hAnsi="Times New Roman" w:cs="Times New Roman"/>
          <w:sz w:val="24"/>
          <w:szCs w:val="24"/>
          <w:lang w:val="en-US"/>
        </w:rPr>
        <w:t xml:space="preserve"> </w:t>
      </w:r>
      <w:r w:rsidRPr="00121FDA">
        <w:rPr>
          <w:rFonts w:ascii="Times New Roman" w:hAnsi="Times New Roman" w:cs="Times New Roman"/>
          <w:sz w:val="24"/>
          <w:szCs w:val="24"/>
          <w:lang w:val="en-US"/>
        </w:rPr>
        <w:t>The variables chosen</w:t>
      </w:r>
      <w:r>
        <w:rPr>
          <w:rFonts w:ascii="Times New Roman" w:hAnsi="Times New Roman" w:cs="Times New Roman"/>
          <w:sz w:val="24"/>
          <w:szCs w:val="24"/>
          <w:lang w:val="en-US"/>
        </w:rPr>
        <w:t>,</w:t>
      </w:r>
      <w:r w:rsidRPr="00121FDA">
        <w:rPr>
          <w:rFonts w:ascii="Times New Roman" w:hAnsi="Times New Roman" w:cs="Times New Roman"/>
          <w:sz w:val="24"/>
          <w:szCs w:val="24"/>
          <w:lang w:val="en-US"/>
        </w:rPr>
        <w:t xml:space="preserve"> by the above mentioned authors</w:t>
      </w:r>
      <w:r>
        <w:rPr>
          <w:rFonts w:ascii="Times New Roman" w:hAnsi="Times New Roman" w:cs="Times New Roman"/>
          <w:sz w:val="24"/>
          <w:szCs w:val="24"/>
          <w:lang w:val="en-US"/>
        </w:rPr>
        <w:t>,</w:t>
      </w:r>
      <w:r w:rsidRPr="00121FDA">
        <w:rPr>
          <w:rFonts w:ascii="Times New Roman" w:hAnsi="Times New Roman" w:cs="Times New Roman"/>
          <w:sz w:val="24"/>
          <w:szCs w:val="24"/>
          <w:lang w:val="en-US"/>
        </w:rPr>
        <w:t xml:space="preserve"> were: CO2 emissions, access to basic sanitation, HDI and the percentage of renewable resources in energy matrix.</w:t>
      </w:r>
    </w:p>
    <w:p w:rsidR="00824C5D" w:rsidRPr="00B4647E" w:rsidRDefault="00824C5D" w:rsidP="00824C5D">
      <w:pPr>
        <w:spacing w:before="20" w:after="20" w:line="360" w:lineRule="auto"/>
        <w:ind w:right="-1" w:firstLine="708"/>
        <w:jc w:val="both"/>
        <w:rPr>
          <w:rFonts w:ascii="Times New Roman" w:hAnsi="Times New Roman" w:cs="Times New Roman"/>
          <w:vanish/>
          <w:sz w:val="24"/>
          <w:szCs w:val="24"/>
        </w:rPr>
      </w:pP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sidRPr="00121FDA">
        <w:rPr>
          <w:rFonts w:ascii="Times New Roman" w:hAnsi="Times New Roman" w:cs="Times New Roman"/>
          <w:sz w:val="24"/>
          <w:szCs w:val="24"/>
          <w:lang w:val="en-US"/>
        </w:rPr>
        <w:t xml:space="preserve">In a recent work of Saavedra-Rivano &amp; Teixeira (2016), </w:t>
      </w:r>
      <w:r>
        <w:rPr>
          <w:rFonts w:ascii="Times New Roman" w:hAnsi="Times New Roman" w:cs="Times New Roman"/>
          <w:sz w:val="24"/>
          <w:szCs w:val="24"/>
          <w:lang w:val="en-US"/>
        </w:rPr>
        <w:t xml:space="preserve">a </w:t>
      </w:r>
      <w:r w:rsidRPr="00DF704E">
        <w:rPr>
          <w:rFonts w:ascii="Times New Roman" w:hAnsi="Times New Roman" w:cs="Times New Roman"/>
          <w:sz w:val="24"/>
          <w:szCs w:val="24"/>
          <w:lang w:val="en-US"/>
        </w:rPr>
        <w:t xml:space="preserve">problem in the ordering of the variables </w:t>
      </w:r>
      <w:r w:rsidRPr="00121FDA">
        <w:rPr>
          <w:rFonts w:ascii="Times New Roman" w:hAnsi="Times New Roman" w:cs="Times New Roman"/>
          <w:sz w:val="24"/>
          <w:szCs w:val="24"/>
          <w:lang w:val="en-US"/>
        </w:rPr>
        <w:t>has been observed, which if changed, different results may generate for the index.</w:t>
      </w:r>
      <w:r w:rsidR="00FA3E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not an inconsequential oversight and they </w:t>
      </w:r>
      <w:r w:rsidRPr="00121FDA">
        <w:rPr>
          <w:rFonts w:ascii="Times New Roman" w:hAnsi="Times New Roman" w:cs="Times New Roman"/>
          <w:sz w:val="24"/>
          <w:szCs w:val="24"/>
          <w:lang w:val="en-US"/>
        </w:rPr>
        <w:t>pro</w:t>
      </w:r>
      <w:r>
        <w:rPr>
          <w:rFonts w:ascii="Times New Roman" w:hAnsi="Times New Roman" w:cs="Times New Roman"/>
          <w:sz w:val="24"/>
          <w:szCs w:val="24"/>
          <w:lang w:val="en-US"/>
        </w:rPr>
        <w:t>posed a solution called</w:t>
      </w:r>
      <w:r w:rsidRPr="00121FDA">
        <w:rPr>
          <w:rFonts w:ascii="Times New Roman" w:hAnsi="Times New Roman" w:cs="Times New Roman"/>
          <w:sz w:val="24"/>
          <w:szCs w:val="24"/>
          <w:lang w:val="en-US"/>
        </w:rPr>
        <w:t xml:space="preserve"> “Hypercube Magic”.</w:t>
      </w:r>
      <w:r w:rsidR="00FA3EA9">
        <w:rPr>
          <w:rFonts w:ascii="Times New Roman" w:hAnsi="Times New Roman" w:cs="Times New Roman"/>
          <w:sz w:val="24"/>
          <w:szCs w:val="24"/>
          <w:lang w:val="en-US"/>
        </w:rPr>
        <w:t xml:space="preserve"> </w:t>
      </w:r>
      <w:r w:rsidRPr="00121FDA">
        <w:rPr>
          <w:rFonts w:ascii="Times New Roman" w:hAnsi="Times New Roman" w:cs="Times New Roman"/>
          <w:sz w:val="24"/>
          <w:szCs w:val="24"/>
          <w:lang w:val="en-US"/>
        </w:rPr>
        <w:t>In this approach, four variables are used</w:t>
      </w:r>
      <w:r>
        <w:rPr>
          <w:rFonts w:ascii="Times New Roman" w:hAnsi="Times New Roman" w:cs="Times New Roman"/>
          <w:sz w:val="24"/>
          <w:szCs w:val="24"/>
          <w:lang w:val="en-US"/>
        </w:rPr>
        <w:t>. However, since</w:t>
      </w:r>
      <w:r w:rsidRPr="00121FDA">
        <w:rPr>
          <w:rFonts w:ascii="Times New Roman" w:hAnsi="Times New Roman" w:cs="Times New Roman"/>
          <w:sz w:val="24"/>
          <w:szCs w:val="24"/>
          <w:lang w:val="en-US"/>
        </w:rPr>
        <w:t xml:space="preserve"> the geometric figure chosen has</w:t>
      </w:r>
      <w:r>
        <w:rPr>
          <w:rFonts w:ascii="Times New Roman" w:hAnsi="Times New Roman" w:cs="Times New Roman"/>
          <w:sz w:val="24"/>
          <w:szCs w:val="24"/>
          <w:lang w:val="en-US"/>
        </w:rPr>
        <w:t xml:space="preserve"> more than three dimensions,</w:t>
      </w:r>
      <w:r w:rsidRPr="00121FDA">
        <w:rPr>
          <w:rFonts w:ascii="Times New Roman" w:hAnsi="Times New Roman" w:cs="Times New Roman"/>
          <w:sz w:val="24"/>
          <w:szCs w:val="24"/>
          <w:lang w:val="en-US"/>
        </w:rPr>
        <w:t xml:space="preserve"> its graphical representation becomes difficult.</w:t>
      </w:r>
    </w:p>
    <w:p w:rsidR="00824C5D" w:rsidRDefault="00824C5D" w:rsidP="00824C5D">
      <w:pPr>
        <w:spacing w:before="20" w:after="20" w:line="360" w:lineRule="auto"/>
        <w:ind w:right="-1" w:firstLine="851"/>
        <w:jc w:val="both"/>
        <w:rPr>
          <w:rFonts w:ascii="Times New Roman" w:hAnsi="Times New Roman" w:cs="Times New Roman"/>
          <w:vanish/>
          <w:sz w:val="24"/>
          <w:szCs w:val="24"/>
          <w:lang w:val="en-US"/>
        </w:rPr>
      </w:pP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Due to</w:t>
      </w:r>
      <w:r w:rsidRPr="00565A8B">
        <w:rPr>
          <w:rFonts w:ascii="Times New Roman" w:hAnsi="Times New Roman" w:cs="Times New Roman"/>
          <w:sz w:val="24"/>
          <w:szCs w:val="24"/>
          <w:lang w:val="en-US"/>
        </w:rPr>
        <w:t xml:space="preserve"> these limitations, in the present work, it was chosen an alternative way to calculate the index called the Magic Triangle.</w:t>
      </w:r>
      <w:r w:rsidR="00FA3EA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 xml:space="preserve">In this new geometric form, we chose only three variables, which makes the results </w:t>
      </w:r>
      <w:r>
        <w:rPr>
          <w:rFonts w:ascii="Times New Roman" w:hAnsi="Times New Roman" w:cs="Times New Roman"/>
          <w:sz w:val="24"/>
          <w:szCs w:val="24"/>
          <w:lang w:val="en-US"/>
        </w:rPr>
        <w:t xml:space="preserve">of the index indifferent to the </w:t>
      </w:r>
      <w:r w:rsidRPr="00565A8B">
        <w:rPr>
          <w:rFonts w:ascii="Times New Roman" w:hAnsi="Times New Roman" w:cs="Times New Roman"/>
          <w:sz w:val="24"/>
          <w:szCs w:val="24"/>
          <w:lang w:val="en-US"/>
        </w:rPr>
        <w:t>ordination</w:t>
      </w:r>
      <w:r>
        <w:rPr>
          <w:rFonts w:ascii="Times New Roman" w:hAnsi="Times New Roman" w:cs="Times New Roman"/>
          <w:sz w:val="24"/>
          <w:szCs w:val="24"/>
          <w:lang w:val="en-US"/>
        </w:rPr>
        <w:t xml:space="preserve"> of the variables</w:t>
      </w:r>
      <w:r w:rsidRPr="00565A8B">
        <w:rPr>
          <w:rFonts w:ascii="Times New Roman" w:hAnsi="Times New Roman" w:cs="Times New Roman"/>
          <w:sz w:val="24"/>
          <w:szCs w:val="24"/>
          <w:lang w:val="en-US"/>
        </w:rPr>
        <w:t>, because it provides a</w:t>
      </w:r>
      <w:r>
        <w:rPr>
          <w:rFonts w:ascii="Times New Roman" w:hAnsi="Times New Roman" w:cs="Times New Roman"/>
          <w:sz w:val="24"/>
          <w:szCs w:val="24"/>
          <w:lang w:val="en-US"/>
        </w:rPr>
        <w:t xml:space="preserve"> single value for the indicator</w:t>
      </w:r>
      <w:r w:rsidRPr="00565A8B">
        <w:rPr>
          <w:rFonts w:ascii="Times New Roman" w:hAnsi="Times New Roman" w:cs="Times New Roman"/>
          <w:sz w:val="24"/>
          <w:szCs w:val="24"/>
          <w:lang w:val="en-US"/>
        </w:rPr>
        <w:t>.</w:t>
      </w:r>
      <w:r w:rsidR="00FA3EA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The choice of a simple figure, the t</w:t>
      </w:r>
      <w:r>
        <w:rPr>
          <w:rFonts w:ascii="Times New Roman" w:hAnsi="Times New Roman" w:cs="Times New Roman"/>
          <w:sz w:val="24"/>
          <w:szCs w:val="24"/>
          <w:lang w:val="en-US"/>
        </w:rPr>
        <w:t>riangle, resulted also in a graph, which</w:t>
      </w:r>
      <w:r w:rsidRPr="00565A8B">
        <w:rPr>
          <w:rFonts w:ascii="Times New Roman" w:hAnsi="Times New Roman" w:cs="Times New Roman"/>
          <w:sz w:val="24"/>
          <w:szCs w:val="24"/>
          <w:lang w:val="en-US"/>
        </w:rPr>
        <w:t xml:space="preserve"> analysis is almost intuitive.</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p>
    <w:p w:rsidR="00824C5D" w:rsidRPr="00FD6D2B" w:rsidRDefault="00824C5D" w:rsidP="00824C5D">
      <w:pPr>
        <w:spacing w:before="20" w:after="20" w:line="360" w:lineRule="auto"/>
        <w:ind w:right="-1" w:firstLine="851"/>
        <w:jc w:val="both"/>
        <w:rPr>
          <w:rFonts w:ascii="Times New Roman" w:hAnsi="Times New Roman" w:cs="Times New Roman"/>
          <w:vanish/>
          <w:sz w:val="24"/>
          <w:szCs w:val="24"/>
          <w:lang w:val="en-US"/>
        </w:rPr>
      </w:pPr>
    </w:p>
    <w:p w:rsidR="00824C5D" w:rsidRPr="00DC6399" w:rsidRDefault="00824C5D" w:rsidP="00824C5D">
      <w:pPr>
        <w:spacing w:line="360" w:lineRule="auto"/>
        <w:ind w:right="-1"/>
        <w:jc w:val="both"/>
        <w:rPr>
          <w:rFonts w:ascii="Times New Roman" w:hAnsi="Times New Roman" w:cs="Times New Roman"/>
          <w:b/>
          <w:vanish/>
          <w:sz w:val="24"/>
          <w:szCs w:val="24"/>
          <w:lang w:val="en-US"/>
        </w:rPr>
      </w:pPr>
    </w:p>
    <w:p w:rsidR="00824C5D" w:rsidRDefault="00824C5D" w:rsidP="00824C5D">
      <w:pPr>
        <w:spacing w:line="360" w:lineRule="auto"/>
        <w:ind w:right="-1"/>
        <w:jc w:val="both"/>
        <w:rPr>
          <w:rFonts w:ascii="Times New Roman" w:hAnsi="Times New Roman" w:cs="Times New Roman"/>
          <w:b/>
          <w:sz w:val="24"/>
          <w:szCs w:val="24"/>
          <w:lang w:val="en-US"/>
        </w:rPr>
      </w:pPr>
      <w:r w:rsidRPr="00DC6399">
        <w:rPr>
          <w:rFonts w:ascii="Times New Roman" w:hAnsi="Times New Roman" w:cs="Times New Roman"/>
          <w:b/>
          <w:sz w:val="24"/>
          <w:szCs w:val="24"/>
          <w:lang w:val="en-US"/>
        </w:rPr>
        <w:t>2.1 The for</w:t>
      </w:r>
      <w:r>
        <w:rPr>
          <w:rFonts w:ascii="Times New Roman" w:hAnsi="Times New Roman" w:cs="Times New Roman"/>
          <w:b/>
          <w:sz w:val="24"/>
          <w:szCs w:val="24"/>
          <w:lang w:val="en-US"/>
        </w:rPr>
        <w:t>malization of the Magic Triangle</w:t>
      </w:r>
    </w:p>
    <w:p w:rsidR="00824C5D" w:rsidRPr="00DC6399" w:rsidRDefault="00824C5D" w:rsidP="00824C5D">
      <w:pPr>
        <w:spacing w:line="360" w:lineRule="auto"/>
        <w:ind w:right="-1"/>
        <w:jc w:val="both"/>
        <w:rPr>
          <w:rFonts w:ascii="Times New Roman" w:hAnsi="Times New Roman" w:cs="Times New Roman"/>
          <w:b/>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FA3EA9">
        <w:rPr>
          <w:rFonts w:ascii="Times New Roman" w:hAnsi="Times New Roman" w:cs="Times New Roman"/>
          <w:sz w:val="24"/>
          <w:szCs w:val="24"/>
          <w:lang w:val="en-US"/>
        </w:rPr>
        <w:t>it is well</w:t>
      </w:r>
      <w:r>
        <w:rPr>
          <w:rFonts w:ascii="Times New Roman" w:hAnsi="Times New Roman" w:cs="Times New Roman"/>
          <w:sz w:val="24"/>
          <w:szCs w:val="24"/>
          <w:lang w:val="en-US"/>
        </w:rPr>
        <w:t xml:space="preserve"> know</w:t>
      </w:r>
      <w:r w:rsidR="00FA3EA9">
        <w:rPr>
          <w:rFonts w:ascii="Times New Roman" w:hAnsi="Times New Roman" w:cs="Times New Roman"/>
          <w:sz w:val="24"/>
          <w:szCs w:val="24"/>
          <w:lang w:val="en-US"/>
        </w:rPr>
        <w:t>n</w:t>
      </w:r>
      <w:r>
        <w:rPr>
          <w:rFonts w:ascii="Times New Roman" w:hAnsi="Times New Roman" w:cs="Times New Roman"/>
          <w:sz w:val="24"/>
          <w:szCs w:val="24"/>
          <w:lang w:val="en-US"/>
        </w:rPr>
        <w:t>,</w:t>
      </w:r>
      <w:r w:rsidR="00FA3EA9">
        <w:rPr>
          <w:rFonts w:ascii="Times New Roman" w:hAnsi="Times New Roman" w:cs="Times New Roman"/>
          <w:sz w:val="24"/>
          <w:szCs w:val="24"/>
          <w:lang w:val="en-US"/>
        </w:rPr>
        <w:t xml:space="preserve"> </w:t>
      </w:r>
      <w:r w:rsidR="00406A7A">
        <w:rPr>
          <w:rFonts w:ascii="Times New Roman" w:hAnsi="Times New Roman" w:cs="Times New Roman"/>
          <w:sz w:val="24"/>
          <w:szCs w:val="24"/>
          <w:lang w:val="en-US"/>
        </w:rPr>
        <w:t xml:space="preserve">a </w:t>
      </w:r>
      <w:r w:rsidRPr="00565A8B">
        <w:rPr>
          <w:rFonts w:ascii="Times New Roman" w:hAnsi="Times New Roman" w:cs="Times New Roman"/>
          <w:sz w:val="24"/>
          <w:szCs w:val="24"/>
          <w:lang w:val="en-US"/>
        </w:rPr>
        <w:t>economically sustainable</w:t>
      </w:r>
      <w:r w:rsidR="00406A7A">
        <w:rPr>
          <w:rFonts w:ascii="Times New Roman" w:hAnsi="Times New Roman" w:cs="Times New Roman"/>
          <w:sz w:val="24"/>
          <w:szCs w:val="24"/>
          <w:lang w:val="en-US"/>
        </w:rPr>
        <w:t xml:space="preserve"> system</w:t>
      </w:r>
      <w:r w:rsidRPr="00565A8B">
        <w:rPr>
          <w:rFonts w:ascii="Times New Roman" w:hAnsi="Times New Roman" w:cs="Times New Roman"/>
          <w:sz w:val="24"/>
          <w:szCs w:val="24"/>
          <w:lang w:val="en-US"/>
        </w:rPr>
        <w:t xml:space="preserve"> should be able to continue producing products and services at the same time maintaining a stable base of resources, avoiding environmental degradation, and</w:t>
      </w:r>
      <w:r>
        <w:rPr>
          <w:rFonts w:ascii="Times New Roman" w:hAnsi="Times New Roman" w:cs="Times New Roman"/>
          <w:sz w:val="24"/>
          <w:szCs w:val="24"/>
          <w:lang w:val="en-US"/>
        </w:rPr>
        <w:t xml:space="preserve"> taking care of socioeconomic relations</w:t>
      </w:r>
      <w:r w:rsidRPr="00565A8B">
        <w:rPr>
          <w:rFonts w:ascii="Times New Roman" w:hAnsi="Times New Roman" w:cs="Times New Roman"/>
          <w:sz w:val="24"/>
          <w:szCs w:val="24"/>
          <w:lang w:val="en-US"/>
        </w:rPr>
        <w:t>.</w:t>
      </w:r>
      <w:r>
        <w:rPr>
          <w:rFonts w:ascii="Times New Roman" w:hAnsi="Times New Roman" w:cs="Times New Roman"/>
          <w:sz w:val="24"/>
          <w:szCs w:val="24"/>
          <w:lang w:val="en-US"/>
        </w:rPr>
        <w:t xml:space="preserve"> According to Marien (2015), this attends by Sachs’ definition of sustainable development as “both a way of looking at the world, with a focus on the interlink</w:t>
      </w:r>
      <w:r w:rsidR="00FA3EA9">
        <w:rPr>
          <w:rFonts w:ascii="Times New Roman" w:hAnsi="Times New Roman" w:cs="Times New Roman"/>
          <w:sz w:val="24"/>
          <w:szCs w:val="24"/>
          <w:lang w:val="en-US"/>
        </w:rPr>
        <w:t xml:space="preserve"> </w:t>
      </w:r>
      <w:r>
        <w:rPr>
          <w:rFonts w:ascii="Times New Roman" w:hAnsi="Times New Roman" w:cs="Times New Roman"/>
          <w:sz w:val="24"/>
          <w:szCs w:val="24"/>
          <w:lang w:val="en-US"/>
        </w:rPr>
        <w:t>ages of economic, social, and environmental change, and a way of describing our shared aspirations for a decent life, combining economic development, social inclusion, and environmental sustainability”. Figure 1 is the result of this intellectual effort</w:t>
      </w:r>
      <w:r>
        <w:rPr>
          <w:rStyle w:val="Refdenotaderodap"/>
          <w:rFonts w:ascii="Times New Roman" w:hAnsi="Times New Roman" w:cs="Times New Roman"/>
          <w:sz w:val="24"/>
          <w:szCs w:val="24"/>
          <w:lang w:val="en-US"/>
        </w:rPr>
        <w:footnoteReference w:id="1"/>
      </w:r>
      <w:r>
        <w:rPr>
          <w:rFonts w:ascii="Times New Roman" w:hAnsi="Times New Roman" w:cs="Times New Roman"/>
          <w:sz w:val="24"/>
          <w:szCs w:val="24"/>
          <w:lang w:val="en-US"/>
        </w:rPr>
        <w:t>. It shows how and whether the above mentioned variables are serving the needs of society.</w:t>
      </w:r>
    </w:p>
    <w:p w:rsidR="00824C5D" w:rsidRPr="00FD6D2B" w:rsidRDefault="00824C5D" w:rsidP="00824C5D">
      <w:pPr>
        <w:spacing w:line="360" w:lineRule="auto"/>
        <w:ind w:right="-1" w:firstLine="851"/>
        <w:jc w:val="both"/>
        <w:rPr>
          <w:rFonts w:ascii="Times New Roman" w:hAnsi="Times New Roman" w:cs="Times New Roman"/>
          <w:vanish/>
          <w:sz w:val="24"/>
          <w:szCs w:val="24"/>
          <w:lang w:val="en-US"/>
        </w:rPr>
      </w:pPr>
    </w:p>
    <w:p w:rsidR="00824C5D" w:rsidRPr="00FD6D2B" w:rsidRDefault="00824C5D" w:rsidP="00824C5D">
      <w:pPr>
        <w:spacing w:before="240" w:after="20"/>
        <w:ind w:right="-1"/>
        <w:jc w:val="both"/>
        <w:rPr>
          <w:rFonts w:ascii="Times New Roman" w:hAnsi="Times New Roman" w:cs="Times New Roman"/>
          <w:sz w:val="24"/>
          <w:szCs w:val="24"/>
          <w:lang w:val="en-US"/>
        </w:rPr>
      </w:pPr>
      <w:r w:rsidRPr="007D51C6">
        <w:rPr>
          <w:rFonts w:ascii="Times New Roman" w:hAnsi="Times New Roman" w:cs="Times New Roman"/>
          <w:sz w:val="24"/>
          <w:szCs w:val="24"/>
          <w:lang w:val="en-US"/>
        </w:rPr>
        <w:t>Figure 1: The three pillars of sustainable development</w:t>
      </w:r>
    </w:p>
    <w:p w:rsidR="00824C5D" w:rsidRDefault="00824C5D" w:rsidP="00824C5D">
      <w:pPr>
        <w:spacing w:before="240" w:after="20"/>
        <w:ind w:right="-1"/>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3108960" cy="2697480"/>
            <wp:effectExtent l="19050" t="0" r="0" b="0"/>
            <wp:docPr id="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srcRect/>
                    <a:stretch>
                      <a:fillRect/>
                    </a:stretch>
                  </pic:blipFill>
                  <pic:spPr bwMode="auto">
                    <a:xfrm>
                      <a:off x="0" y="0"/>
                      <a:ext cx="3108960" cy="2697480"/>
                    </a:xfrm>
                    <a:prstGeom prst="rect">
                      <a:avLst/>
                    </a:prstGeom>
                    <a:noFill/>
                    <a:ln w="9525">
                      <a:noFill/>
                      <a:miter lim="800000"/>
                      <a:headEnd/>
                      <a:tailEnd/>
                    </a:ln>
                  </pic:spPr>
                </pic:pic>
              </a:graphicData>
            </a:graphic>
          </wp:inline>
        </w:drawing>
      </w:r>
    </w:p>
    <w:p w:rsidR="00824C5D" w:rsidRDefault="00824C5D" w:rsidP="00824C5D">
      <w:pPr>
        <w:spacing w:before="240" w:after="20"/>
        <w:ind w:right="-1"/>
        <w:rPr>
          <w:rFonts w:ascii="Times New Roman" w:hAnsi="Times New Roman" w:cs="Times New Roman"/>
          <w:lang w:val="en-US"/>
        </w:rPr>
      </w:pPr>
      <w:r w:rsidRPr="00DF704E">
        <w:rPr>
          <w:rFonts w:ascii="Times New Roman" w:hAnsi="Times New Roman" w:cs="Times New Roman"/>
          <w:lang w:val="en-US"/>
        </w:rPr>
        <w:t>Source: World Bank (2012).</w:t>
      </w:r>
    </w:p>
    <w:p w:rsidR="00824C5D" w:rsidRDefault="00824C5D" w:rsidP="00824C5D">
      <w:pPr>
        <w:spacing w:before="240" w:after="20"/>
        <w:ind w:right="-1"/>
        <w:rPr>
          <w:rFonts w:ascii="Times New Roman" w:hAnsi="Times New Roman" w:cs="Times New Roman"/>
          <w:lang w:val="en-US"/>
        </w:rPr>
      </w:pPr>
    </w:p>
    <w:p w:rsidR="00824C5D" w:rsidRPr="00565A8B" w:rsidRDefault="00824C5D" w:rsidP="00824C5D">
      <w:pPr>
        <w:spacing w:before="20" w:after="20" w:line="360" w:lineRule="auto"/>
        <w:ind w:right="-1"/>
        <w:jc w:val="both"/>
        <w:rPr>
          <w:rFonts w:ascii="Times New Roman" w:hAnsi="Times New Roman" w:cs="Times New Roman"/>
          <w:vanish/>
          <w:sz w:val="24"/>
          <w:szCs w:val="24"/>
        </w:rPr>
      </w:pPr>
    </w:p>
    <w:p w:rsidR="00824C5D" w:rsidRPr="00FD6D2B" w:rsidRDefault="00824C5D" w:rsidP="00824C5D">
      <w:pPr>
        <w:spacing w:before="20" w:after="20" w:line="360" w:lineRule="auto"/>
        <w:ind w:right="-1" w:firstLine="851"/>
        <w:jc w:val="both"/>
        <w:rPr>
          <w:rFonts w:ascii="Times New Roman" w:hAnsi="Times New Roman" w:cs="Times New Roman"/>
          <w:vanish/>
          <w:sz w:val="24"/>
          <w:szCs w:val="24"/>
          <w:lang w:val="en-US"/>
        </w:rPr>
      </w:pPr>
      <w:r w:rsidRPr="00565A8B">
        <w:rPr>
          <w:rFonts w:ascii="Times New Roman" w:hAnsi="Times New Roman" w:cs="Times New Roman"/>
          <w:sz w:val="24"/>
          <w:szCs w:val="24"/>
          <w:lang w:val="en-US"/>
        </w:rPr>
        <w:t>The green economy appears as the basis f</w:t>
      </w:r>
      <w:r w:rsidR="00406A7A">
        <w:rPr>
          <w:rFonts w:ascii="Times New Roman" w:hAnsi="Times New Roman" w:cs="Times New Roman"/>
          <w:sz w:val="24"/>
          <w:szCs w:val="24"/>
          <w:lang w:val="en-US"/>
        </w:rPr>
        <w:t>or sustainable development, since it</w:t>
      </w:r>
      <w:r>
        <w:rPr>
          <w:rFonts w:ascii="Times New Roman" w:hAnsi="Times New Roman" w:cs="Times New Roman"/>
          <w:sz w:val="24"/>
          <w:szCs w:val="24"/>
          <w:lang w:val="en-US"/>
        </w:rPr>
        <w:t xml:space="preserve"> is</w:t>
      </w:r>
      <w:r w:rsidRPr="00565A8B">
        <w:rPr>
          <w:rFonts w:ascii="Times New Roman" w:hAnsi="Times New Roman" w:cs="Times New Roman"/>
          <w:sz w:val="24"/>
          <w:szCs w:val="24"/>
          <w:lang w:val="en-US"/>
        </w:rPr>
        <w:t xml:space="preserve"> able to align these </w:t>
      </w:r>
      <w:r>
        <w:rPr>
          <w:rFonts w:ascii="Times New Roman" w:hAnsi="Times New Roman" w:cs="Times New Roman"/>
          <w:sz w:val="24"/>
          <w:szCs w:val="24"/>
          <w:lang w:val="en-US"/>
        </w:rPr>
        <w:t>three aspects in a same context</w:t>
      </w:r>
      <w:r>
        <w:rPr>
          <w:rFonts w:ascii="Times New Roman" w:hAnsi="Times New Roman" w:cs="Times New Roman"/>
          <w:vanish/>
          <w:sz w:val="24"/>
          <w:szCs w:val="24"/>
          <w:lang w:val="en-US"/>
        </w:rPr>
        <w:t xml:space="preserve"> and</w:t>
      </w:r>
      <w:r>
        <w:rPr>
          <w:rFonts w:ascii="Times New Roman" w:hAnsi="Times New Roman" w:cs="Times New Roman"/>
          <w:sz w:val="24"/>
          <w:szCs w:val="24"/>
          <w:lang w:val="en-US"/>
        </w:rPr>
        <w:t xml:space="preserve">. It </w:t>
      </w:r>
      <w:r w:rsidRPr="00565A8B">
        <w:rPr>
          <w:rFonts w:ascii="Times New Roman" w:hAnsi="Times New Roman" w:cs="Times New Roman"/>
          <w:sz w:val="24"/>
          <w:szCs w:val="24"/>
          <w:lang w:val="en-US"/>
        </w:rPr>
        <w:t>is characterized by being low carbon, efficient in the use of resources, both economic and environmental, and socially inclusive.</w:t>
      </w:r>
      <w:r w:rsidR="00FA3EA9">
        <w:rPr>
          <w:rFonts w:ascii="Times New Roman" w:hAnsi="Times New Roman" w:cs="Times New Roman"/>
          <w:sz w:val="24"/>
          <w:szCs w:val="24"/>
          <w:lang w:val="en-US"/>
        </w:rPr>
        <w:t xml:space="preserve"> </w:t>
      </w:r>
      <w:r>
        <w:rPr>
          <w:rFonts w:ascii="Times New Roman" w:hAnsi="Times New Roman" w:cs="Times New Roman"/>
          <w:sz w:val="24"/>
          <w:szCs w:val="24"/>
          <w:lang w:val="en-US"/>
        </w:rPr>
        <w:t>Of course,</w:t>
      </w:r>
      <w:r w:rsidRPr="00565A8B">
        <w:rPr>
          <w:rFonts w:ascii="Times New Roman" w:hAnsi="Times New Roman" w:cs="Times New Roman"/>
          <w:sz w:val="24"/>
          <w:szCs w:val="24"/>
          <w:lang w:val="en-US"/>
        </w:rPr>
        <w:t xml:space="preserve"> the form of representation of these characteristics can vary</w:t>
      </w:r>
      <w:r>
        <w:rPr>
          <w:rFonts w:ascii="Times New Roman" w:hAnsi="Times New Roman" w:cs="Times New Roman"/>
          <w:sz w:val="24"/>
          <w:szCs w:val="24"/>
          <w:lang w:val="en-US"/>
        </w:rPr>
        <w:t>. F</w:t>
      </w:r>
      <w:r w:rsidRPr="00565A8B">
        <w:rPr>
          <w:rFonts w:ascii="Times New Roman" w:hAnsi="Times New Roman" w:cs="Times New Roman"/>
          <w:sz w:val="24"/>
          <w:szCs w:val="24"/>
          <w:lang w:val="en-US"/>
        </w:rPr>
        <w:t>or example, a low-carbon eco</w:t>
      </w:r>
      <w:r>
        <w:rPr>
          <w:rFonts w:ascii="Times New Roman" w:hAnsi="Times New Roman" w:cs="Times New Roman"/>
          <w:sz w:val="24"/>
          <w:szCs w:val="24"/>
          <w:lang w:val="en-US"/>
        </w:rPr>
        <w:t>nomy can be measured by</w:t>
      </w:r>
      <w:r w:rsidRPr="00565A8B">
        <w:rPr>
          <w:rFonts w:ascii="Times New Roman" w:hAnsi="Times New Roman" w:cs="Times New Roman"/>
          <w:sz w:val="24"/>
          <w:szCs w:val="24"/>
          <w:lang w:val="en-US"/>
        </w:rPr>
        <w:t xml:space="preserve"> carbon dioxide emissions per capita, or, simply,</w:t>
      </w:r>
      <w:r>
        <w:rPr>
          <w:rFonts w:ascii="Times New Roman" w:hAnsi="Times New Roman" w:cs="Times New Roman"/>
          <w:sz w:val="24"/>
          <w:szCs w:val="24"/>
          <w:lang w:val="en-US"/>
        </w:rPr>
        <w:t xml:space="preserve"> by </w:t>
      </w:r>
      <w:r w:rsidRPr="00565A8B">
        <w:rPr>
          <w:rFonts w:ascii="Times New Roman" w:hAnsi="Times New Roman" w:cs="Times New Roman"/>
          <w:sz w:val="24"/>
          <w:szCs w:val="24"/>
          <w:lang w:val="en-US"/>
        </w:rPr>
        <w:t>the innovations of technology.</w:t>
      </w:r>
      <w:r w:rsidR="00FA3EA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The emission of CO2 (</w:t>
      </w:r>
      <w:r w:rsidRPr="00565A8B">
        <w:rPr>
          <w:rFonts w:ascii="Times New Roman" w:hAnsi="Times New Roman" w:cs="Times New Roman"/>
          <w:sz w:val="24"/>
          <w:szCs w:val="24"/>
        </w:rPr>
        <w:t>τ</w:t>
      </w:r>
      <w:r w:rsidRPr="00565A8B">
        <w:rPr>
          <w:rFonts w:ascii="Times New Roman" w:hAnsi="Times New Roman" w:cs="Times New Roman"/>
          <w:sz w:val="24"/>
          <w:szCs w:val="24"/>
          <w:lang w:val="en-US"/>
        </w:rPr>
        <w:t>)</w:t>
      </w:r>
      <w:r>
        <w:rPr>
          <w:rFonts w:ascii="Times New Roman" w:hAnsi="Times New Roman" w:cs="Times New Roman"/>
          <w:sz w:val="24"/>
          <w:szCs w:val="24"/>
          <w:lang w:val="en-US"/>
        </w:rPr>
        <w:t xml:space="preserve"> can show</w:t>
      </w:r>
      <w:r w:rsidRPr="00565A8B">
        <w:rPr>
          <w:rFonts w:ascii="Times New Roman" w:hAnsi="Times New Roman" w:cs="Times New Roman"/>
          <w:sz w:val="24"/>
          <w:szCs w:val="24"/>
          <w:lang w:val="en-US"/>
        </w:rPr>
        <w:t xml:space="preserve"> the aspect of low carbon, while the amount of renewable resources</w:t>
      </w:r>
      <w:r w:rsidR="000F06F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w:t>
      </w:r>
      <w:r w:rsidRPr="00565A8B">
        <w:rPr>
          <w:rFonts w:ascii="Times New Roman" w:hAnsi="Times New Roman" w:cs="Times New Roman"/>
          <w:sz w:val="24"/>
          <w:szCs w:val="24"/>
        </w:rPr>
        <w:t>φ</w:t>
      </w:r>
      <w:r w:rsidRPr="00565A8B">
        <w:rPr>
          <w:rFonts w:ascii="Times New Roman" w:hAnsi="Times New Roman" w:cs="Times New Roman"/>
          <w:sz w:val="24"/>
          <w:szCs w:val="24"/>
          <w:lang w:val="en-US"/>
        </w:rPr>
        <w:t>) present in the energy matrix will be a proxy of the efficient use of resources.</w:t>
      </w:r>
      <w:r w:rsidR="00FA3EA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Finally, the evolution of the income per capita</w:t>
      </w:r>
      <w:r w:rsidR="000F06F9">
        <w:rPr>
          <w:rFonts w:ascii="Times New Roman" w:hAnsi="Times New Roman" w:cs="Times New Roman"/>
          <w:sz w:val="24"/>
          <w:szCs w:val="24"/>
          <w:lang w:val="en-US"/>
        </w:rPr>
        <w:t xml:space="preserve"> </w:t>
      </w:r>
      <w:r w:rsidRPr="00565A8B">
        <w:rPr>
          <w:rFonts w:ascii="Times New Roman" w:hAnsi="Times New Roman" w:cs="Times New Roman"/>
          <w:sz w:val="24"/>
          <w:szCs w:val="24"/>
          <w:lang w:val="en-US"/>
        </w:rPr>
        <w:t>(</w:t>
      </w:r>
      <w:r w:rsidRPr="00565A8B">
        <w:rPr>
          <w:rFonts w:ascii="Times New Roman" w:hAnsi="Times New Roman" w:cs="Times New Roman"/>
          <w:sz w:val="24"/>
          <w:szCs w:val="24"/>
        </w:rPr>
        <w:t>γ</w:t>
      </w:r>
      <w:r w:rsidRPr="00565A8B">
        <w:rPr>
          <w:rFonts w:ascii="Times New Roman" w:hAnsi="Times New Roman" w:cs="Times New Roman"/>
          <w:sz w:val="24"/>
          <w:szCs w:val="24"/>
          <w:lang w:val="en-US"/>
        </w:rPr>
        <w:t>) will represent the social part.</w:t>
      </w:r>
      <w:r w:rsidR="00FA3EA9">
        <w:rPr>
          <w:rFonts w:ascii="Times New Roman" w:hAnsi="Times New Roman" w:cs="Times New Roman"/>
          <w:sz w:val="24"/>
          <w:szCs w:val="24"/>
          <w:lang w:val="en-US"/>
        </w:rPr>
        <w:t xml:space="preserve"> </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sidRPr="00565A8B">
        <w:rPr>
          <w:rFonts w:ascii="Times New Roman" w:hAnsi="Times New Roman" w:cs="Times New Roman"/>
          <w:sz w:val="24"/>
          <w:szCs w:val="24"/>
          <w:lang w:val="en-US"/>
        </w:rPr>
        <w:t>In seeking to establish the green economy index by means of the calculation of the area of the Triangle, and a</w:t>
      </w:r>
      <w:r>
        <w:rPr>
          <w:rFonts w:ascii="Times New Roman" w:hAnsi="Times New Roman" w:cs="Times New Roman"/>
          <w:sz w:val="24"/>
          <w:szCs w:val="24"/>
          <w:lang w:val="en-US"/>
        </w:rPr>
        <w:t xml:space="preserve"> correct graphical analysis</w:t>
      </w:r>
      <w:r w:rsidRPr="00565A8B">
        <w:rPr>
          <w:rFonts w:ascii="Times New Roman" w:hAnsi="Times New Roman" w:cs="Times New Roman"/>
          <w:sz w:val="24"/>
          <w:szCs w:val="24"/>
          <w:lang w:val="en-US"/>
        </w:rPr>
        <w:t>, it was necessary to normalize the units of the chosen variables, because each of them has a different dimension.</w:t>
      </w:r>
    </w:p>
    <w:p w:rsidR="00824C5D" w:rsidRDefault="00824C5D" w:rsidP="00824C5D">
      <w:pPr>
        <w:spacing w:before="20" w:after="20" w:line="360" w:lineRule="auto"/>
        <w:ind w:right="-1" w:firstLine="851"/>
        <w:jc w:val="both"/>
        <w:rPr>
          <w:rFonts w:ascii="Times New Roman" w:hAnsi="Times New Roman" w:cs="Times New Roman"/>
          <w:vanish/>
          <w:sz w:val="24"/>
          <w:szCs w:val="24"/>
          <w:lang w:val="en-US"/>
        </w:rPr>
      </w:pPr>
      <w:r w:rsidRPr="00565A8B">
        <w:rPr>
          <w:rFonts w:ascii="Times New Roman" w:hAnsi="Times New Roman" w:cs="Times New Roman"/>
          <w:sz w:val="24"/>
          <w:szCs w:val="24"/>
          <w:lang w:val="en-US"/>
        </w:rPr>
        <w:t>The normalization consisted in standardizing all th</w:t>
      </w:r>
      <w:r>
        <w:rPr>
          <w:rFonts w:ascii="Times New Roman" w:hAnsi="Times New Roman" w:cs="Times New Roman"/>
          <w:sz w:val="24"/>
          <w:szCs w:val="24"/>
          <w:lang w:val="en-US"/>
        </w:rPr>
        <w:t>e variables (axes) to a unit and</w:t>
      </w:r>
      <w:r w:rsidRPr="00565A8B">
        <w:rPr>
          <w:rFonts w:ascii="Times New Roman" w:hAnsi="Times New Roman" w:cs="Times New Roman"/>
          <w:sz w:val="24"/>
          <w:szCs w:val="24"/>
          <w:lang w:val="en-US"/>
        </w:rPr>
        <w:t>, from that, be able to calculate the area of the graph formed by the interaction between the chosen variables.</w:t>
      </w:r>
      <w:r w:rsidR="00FA3EA9">
        <w:rPr>
          <w:rFonts w:ascii="Times New Roman" w:hAnsi="Times New Roman" w:cs="Times New Roman"/>
          <w:sz w:val="24"/>
          <w:szCs w:val="24"/>
          <w:lang w:val="en-US"/>
        </w:rPr>
        <w:t xml:space="preserve"> </w:t>
      </w:r>
    </w:p>
    <w:p w:rsidR="00824C5D" w:rsidRDefault="00824C5D" w:rsidP="00824C5D">
      <w:pPr>
        <w:spacing w:before="20" w:after="20" w:line="360" w:lineRule="auto"/>
        <w:ind w:right="-1" w:firstLine="851"/>
        <w:jc w:val="both"/>
        <w:rPr>
          <w:rFonts w:ascii="Times New Roman" w:hAnsi="Times New Roman" w:cs="Times New Roman"/>
          <w:sz w:val="24"/>
          <w:szCs w:val="24"/>
          <w:lang w:val="en-US"/>
        </w:rPr>
      </w:pPr>
      <w:r w:rsidRPr="00C914EE">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normalize the variables, it is </w:t>
      </w:r>
      <w:r w:rsidRPr="00C914EE">
        <w:rPr>
          <w:rFonts w:ascii="Times New Roman" w:hAnsi="Times New Roman" w:cs="Times New Roman"/>
          <w:sz w:val="24"/>
          <w:szCs w:val="24"/>
          <w:lang w:val="en-US"/>
        </w:rPr>
        <w:t>necessary to establish limits of variation for the parameters individually.</w:t>
      </w:r>
      <w:r w:rsidR="00FA3EA9">
        <w:rPr>
          <w:rFonts w:ascii="Times New Roman" w:hAnsi="Times New Roman" w:cs="Times New Roman"/>
          <w:sz w:val="24"/>
          <w:szCs w:val="24"/>
          <w:lang w:val="en-US"/>
        </w:rPr>
        <w:t xml:space="preserve"> </w:t>
      </w:r>
      <w:r>
        <w:rPr>
          <w:rFonts w:ascii="Times New Roman" w:hAnsi="Times New Roman" w:cs="Times New Roman"/>
          <w:sz w:val="24"/>
          <w:szCs w:val="24"/>
          <w:lang w:val="en-US"/>
        </w:rPr>
        <w:t>The ranges are</w:t>
      </w:r>
      <w:r w:rsidRPr="00C914EE">
        <w:rPr>
          <w:rFonts w:ascii="Times New Roman" w:hAnsi="Times New Roman" w:cs="Times New Roman"/>
          <w:sz w:val="24"/>
          <w:szCs w:val="24"/>
          <w:lang w:val="en-US"/>
        </w:rPr>
        <w:t xml:space="preserve"> defined according to the analysis o</w:t>
      </w:r>
      <w:r>
        <w:rPr>
          <w:rFonts w:ascii="Times New Roman" w:hAnsi="Times New Roman" w:cs="Times New Roman"/>
          <w:sz w:val="24"/>
          <w:szCs w:val="24"/>
          <w:lang w:val="en-US"/>
        </w:rPr>
        <w:t>f the historical series and</w:t>
      </w:r>
      <w:r w:rsidRPr="00C914EE">
        <w:rPr>
          <w:rFonts w:ascii="Times New Roman" w:hAnsi="Times New Roman" w:cs="Times New Roman"/>
          <w:sz w:val="24"/>
          <w:szCs w:val="24"/>
          <w:lang w:val="en-US"/>
        </w:rPr>
        <w:t xml:space="preserve"> it was</w:t>
      </w:r>
      <w:r>
        <w:rPr>
          <w:rFonts w:ascii="Times New Roman" w:hAnsi="Times New Roman" w:cs="Times New Roman"/>
          <w:sz w:val="24"/>
          <w:szCs w:val="24"/>
          <w:lang w:val="en-US"/>
        </w:rPr>
        <w:t xml:space="preserve"> decided that the index would vary</w:t>
      </w:r>
      <w:r w:rsidRPr="00C914EE">
        <w:rPr>
          <w:rFonts w:ascii="Times New Roman" w:hAnsi="Times New Roman" w:cs="Times New Roman"/>
          <w:sz w:val="24"/>
          <w:szCs w:val="24"/>
          <w:lang w:val="en-US"/>
        </w:rPr>
        <w:t xml:space="preserve"> between -1 and 1</w:t>
      </w:r>
      <w:r>
        <w:rPr>
          <w:rFonts w:ascii="Times New Roman" w:hAnsi="Times New Roman" w:cs="Times New Roman"/>
          <w:sz w:val="24"/>
          <w:szCs w:val="24"/>
          <w:lang w:val="en-US"/>
        </w:rPr>
        <w:t>. Their limits are given in the following expressions:</w:t>
      </w:r>
    </w:p>
    <w:p w:rsidR="00824C5D" w:rsidRPr="006578C4" w:rsidRDefault="00824C5D" w:rsidP="00824C5D">
      <w:pPr>
        <w:spacing w:before="20" w:after="20" w:line="360" w:lineRule="auto"/>
        <w:ind w:right="-1" w:firstLine="851"/>
        <w:jc w:val="both"/>
        <w:rPr>
          <w:rFonts w:ascii="Times New Roman" w:hAnsi="Times New Roman" w:cs="Times New Roman"/>
          <w:vanish/>
          <w:sz w:val="24"/>
          <w:szCs w:val="24"/>
          <w:lang w:val="en-US"/>
        </w:rPr>
      </w:pPr>
      <w:bookmarkStart w:id="0" w:name="_GoBack"/>
      <w:bookmarkEnd w:id="0"/>
    </w:p>
    <w:p w:rsidR="00824C5D" w:rsidRDefault="00824C5D" w:rsidP="00824C5D">
      <w:pPr>
        <w:spacing w:before="20" w:after="20"/>
        <w:ind w:right="-1" w:firstLine="851"/>
        <w:jc w:val="both"/>
        <w:rPr>
          <w:rFonts w:ascii="Times New Roman" w:hAnsi="Times New Roman" w:cs="Times New Roman"/>
          <w:sz w:val="24"/>
          <w:szCs w:val="24"/>
          <w:lang w:val="en-US"/>
        </w:rPr>
      </w:pPr>
    </w:p>
    <w:p w:rsidR="00824C5D" w:rsidRDefault="00824C5D" w:rsidP="00824C5D">
      <w:pPr>
        <w:ind w:right="-1"/>
        <w:jc w:val="both"/>
        <w:rPr>
          <w:rFonts w:ascii="Times New Roman" w:hAnsi="Times New Roman" w:cs="Times New Roman"/>
          <w:sz w:val="24"/>
          <w:szCs w:val="24"/>
          <w:lang w:val="en-US"/>
        </w:rPr>
      </w:pPr>
      <w:r w:rsidRPr="00443C02">
        <w:rPr>
          <w:rFonts w:ascii="Times New Roman" w:hAnsi="Times New Roman" w:cs="Times New Roman"/>
          <w:sz w:val="24"/>
          <w:szCs w:val="24"/>
          <w:lang w:val="en-US"/>
        </w:rPr>
        <w:t xml:space="preserve">-1 ≤ </w:t>
      </w:r>
      <w:r w:rsidRPr="003C6E7E">
        <w:rPr>
          <w:rFonts w:ascii="Times New Roman" w:hAnsi="Times New Roman" w:cs="Times New Roman"/>
          <w:sz w:val="24"/>
          <w:szCs w:val="24"/>
        </w:rPr>
        <w:t>γ</w:t>
      </w:r>
      <w:r w:rsidRPr="00443C02">
        <w:rPr>
          <w:rFonts w:ascii="Times New Roman" w:hAnsi="Times New Roman" w:cs="Times New Roman"/>
          <w:sz w:val="24"/>
          <w:szCs w:val="24"/>
          <w:lang w:val="en-US"/>
        </w:rPr>
        <w:t xml:space="preserve"> ≤1;                     -1 ≤ </w:t>
      </w:r>
      <w:r w:rsidRPr="003C6E7E">
        <w:rPr>
          <w:rFonts w:ascii="Times New Roman" w:hAnsi="Times New Roman" w:cs="Times New Roman"/>
          <w:sz w:val="24"/>
          <w:szCs w:val="24"/>
        </w:rPr>
        <w:t>τ</w:t>
      </w:r>
      <w:r w:rsidRPr="00443C02">
        <w:rPr>
          <w:rFonts w:ascii="Times New Roman" w:hAnsi="Times New Roman" w:cs="Times New Roman"/>
          <w:sz w:val="24"/>
          <w:szCs w:val="24"/>
          <w:lang w:val="en-US"/>
        </w:rPr>
        <w:t xml:space="preserve"> ≤ 1;                       -1 ≤ </w:t>
      </w:r>
      <w:r w:rsidR="00902BC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08&quot;/&gt;&lt;w:hyphenationZone w:val=&quot;425&quot;/&gt;&lt;w:punctuationKerning/&gt;&lt;w:characterSpacingControl w:val=&quot;DontCompress&quot;/&gt;&lt;w:optimizeForBrowser/&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6F8&quot;/&gt;&lt;wsp:rsid wsp:val=&quot;0001459F&quot;/&gt;&lt;wsp:rsid wsp:val=&quot;00036454&quot;/&gt;&lt;wsp:rsid wsp:val=&quot;00072B07&quot;/&gt;&lt;wsp:rsid wsp:val=&quot;0007667A&quot;/&gt;&lt;wsp:rsid wsp:val=&quot;00094DD2&quot;/&gt;&lt;wsp:rsid wsp:val=&quot;00094E21&quot;/&gt;&lt;wsp:rsid wsp:val=&quot;000B6DB4&quot;/&gt;&lt;wsp:rsid wsp:val=&quot;000E5E8F&quot;/&gt;&lt;wsp:rsid wsp:val=&quot;00121FDA&quot;/&gt;&lt;wsp:rsid wsp:val=&quot;00122049&quot;/&gt;&lt;wsp:rsid wsp:val=&quot;001872CC&quot;/&gt;&lt;wsp:rsid wsp:val=&quot;001B3F29&quot;/&gt;&lt;wsp:rsid wsp:val=&quot;001B570A&quot;/&gt;&lt;wsp:rsid wsp:val=&quot;001B5C85&quot;/&gt;&lt;wsp:rsid wsp:val=&quot;001C4A45&quot;/&gt;&lt;wsp:rsid wsp:val=&quot;001C6273&quot;/&gt;&lt;wsp:rsid wsp:val=&quot;001D4579&quot;/&gt;&lt;wsp:rsid wsp:val=&quot;001D683C&quot;/&gt;&lt;wsp:rsid wsp:val=&quot;001F2973&quot;/&gt;&lt;wsp:rsid wsp:val=&quot;002024A2&quot;/&gt;&lt;wsp:rsid wsp:val=&quot;00206358&quot;/&gt;&lt;wsp:rsid wsp:val=&quot;0025605A&quot;/&gt;&lt;wsp:rsid wsp:val=&quot;002A4711&quot;/&gt;&lt;wsp:rsid wsp:val=&quot;002B239F&quot;/&gt;&lt;wsp:rsid wsp:val=&quot;002B657D&quot;/&gt;&lt;wsp:rsid wsp:val=&quot;002C1559&quot;/&gt;&lt;wsp:rsid wsp:val=&quot;002E57B9&quot;/&gt;&lt;wsp:rsid wsp:val=&quot;00314ACC&quot;/&gt;&lt;wsp:rsid wsp:val=&quot;00314D9F&quot;/&gt;&lt;wsp:rsid wsp:val=&quot;00331063&quot;/&gt;&lt;wsp:rsid wsp:val=&quot;003B1FFC&quot;/&gt;&lt;wsp:rsid wsp:val=&quot;003B33DF&quot;/&gt;&lt;wsp:rsid wsp:val=&quot;003B6232&quot;/&gt;&lt;wsp:rsid wsp:val=&quot;00405795&quot;/&gt;&lt;wsp:rsid wsp:val=&quot;00425AB5&quot;/&gt;&lt;wsp:rsid wsp:val=&quot;004405F1&quot;/&gt;&lt;wsp:rsid wsp:val=&quot;00443C02&quot;/&gt;&lt;wsp:rsid wsp:val=&quot;004513FA&quot;/&gt;&lt;wsp:rsid wsp:val=&quot;0049688B&quot;/&gt;&lt;wsp:rsid wsp:val=&quot;004A1512&quot;/&gt;&lt;wsp:rsid wsp:val=&quot;004E4611&quot;/&gt;&lt;wsp:rsid wsp:val=&quot;004F1E64&quot;/&gt;&lt;wsp:rsid wsp:val=&quot;004F2436&quot;/&gt;&lt;wsp:rsid wsp:val=&quot;005263DC&quot;/&gt;&lt;wsp:rsid wsp:val=&quot;00527404&quot;/&gt;&lt;wsp:rsid wsp:val=&quot;00530A4F&quot;/&gt;&lt;wsp:rsid wsp:val=&quot;00554A46&quot;/&gt;&lt;wsp:rsid wsp:val=&quot;00565A8B&quot;/&gt;&lt;wsp:rsid wsp:val=&quot;00592A71&quot;/&gt;&lt;wsp:rsid wsp:val=&quot;005C2D94&quot;/&gt;&lt;wsp:rsid wsp:val=&quot;005C63A4&quot;/&gt;&lt;wsp:rsid wsp:val=&quot;005E27A6&quot;/&gt;&lt;wsp:rsid wsp:val=&quot;005E7892&quot;/&gt;&lt;wsp:rsid wsp:val=&quot;00613663&quot;/&gt;&lt;wsp:rsid wsp:val=&quot;00617964&quot;/&gt;&lt;wsp:rsid wsp:val=&quot;006228ED&quot;/&gt;&lt;wsp:rsid wsp:val=&quot;00624A0B&quot;/&gt;&lt;wsp:rsid wsp:val=&quot;0062648A&quot;/&gt;&lt;wsp:rsid wsp:val=&quot;006446A8&quot;/&gt;&lt;wsp:rsid wsp:val=&quot;006578C4&quot;/&gt;&lt;wsp:rsid wsp:val=&quot;006A40C6&quot;/&gt;&lt;wsp:rsid wsp:val=&quot;006A4E43&quot;/&gt;&lt;wsp:rsid wsp:val=&quot;006A72EB&quot;/&gt;&lt;wsp:rsid wsp:val=&quot;006B18FD&quot;/&gt;&lt;wsp:rsid wsp:val=&quot;006D693B&quot;/&gt;&lt;wsp:rsid wsp:val=&quot;006E3975&quot;/&gt;&lt;wsp:rsid wsp:val=&quot;00703D0E&quot;/&gt;&lt;wsp:rsid wsp:val=&quot;007414BE&quot;/&gt;&lt;wsp:rsid wsp:val=&quot;007432AE&quot;/&gt;&lt;wsp:rsid wsp:val=&quot;00753173&quot;/&gt;&lt;wsp:rsid wsp:val=&quot;00765B58&quot;/&gt;&lt;wsp:rsid wsp:val=&quot;007A1CA3&quot;/&gt;&lt;wsp:rsid wsp:val=&quot;007A2D4A&quot;/&gt;&lt;wsp:rsid wsp:val=&quot;007D51C6&quot;/&gt;&lt;wsp:rsid wsp:val=&quot;00805B21&quot;/&gt;&lt;wsp:rsid wsp:val=&quot;00805F0F&quot;/&gt;&lt;wsp:rsid wsp:val=&quot;00851FD8&quot;/&gt;&lt;wsp:rsid wsp:val=&quot;0087104F&quot;/&gt;&lt;wsp:rsid wsp:val=&quot;00883C67&quot;/&gt;&lt;wsp:rsid wsp:val=&quot;00891F0A&quot;/&gt;&lt;wsp:rsid wsp:val=&quot;008B42B3&quot;/&gt;&lt;wsp:rsid wsp:val=&quot;008B52D5&quot;/&gt;&lt;wsp:rsid wsp:val=&quot;008C006E&quot;/&gt;&lt;wsp:rsid wsp:val=&quot;008C6DD8&quot;/&gt;&lt;wsp:rsid wsp:val=&quot;008D2E6F&quot;/&gt;&lt;wsp:rsid wsp:val=&quot;00903391&quot;/&gt;&lt;wsp:rsid wsp:val=&quot;00954BFE&quot;/&gt;&lt;wsp:rsid wsp:val=&quot;009607C6&quot;/&gt;&lt;wsp:rsid wsp:val=&quot;00965BE1&quot;/&gt;&lt;wsp:rsid wsp:val=&quot;009B4B02&quot;/&gt;&lt;wsp:rsid wsp:val=&quot;009F4EB0&quot;/&gt;&lt;wsp:rsid wsp:val=&quot;00A2188C&quot;/&gt;&lt;wsp:rsid wsp:val=&quot;00A44921&quot;/&gt;&lt;wsp:rsid wsp:val=&quot;00A614E1&quot;/&gt;&lt;wsp:rsid wsp:val=&quot;00A66419&quot;/&gt;&lt;wsp:rsid wsp:val=&quot;00A83641&quot;/&gt;&lt;wsp:rsid wsp:val=&quot;00AA30FD&quot;/&gt;&lt;wsp:rsid wsp:val=&quot;00AD0C07&quot;/&gt;&lt;wsp:rsid wsp:val=&quot;00AD2DDE&quot;/&gt;&lt;wsp:rsid wsp:val=&quot;00AD7FD6&quot;/&gt;&lt;wsp:rsid wsp:val=&quot;00AE3D6A&quot;/&gt;&lt;wsp:rsid wsp:val=&quot;00AF19D2&quot;/&gt;&lt;wsp:rsid wsp:val=&quot;00AF62A2&quot;/&gt;&lt;wsp:rsid wsp:val=&quot;00B00858&quot;/&gt;&lt;wsp:rsid wsp:val=&quot;00B00B4F&quot;/&gt;&lt;wsp:rsid wsp:val=&quot;00B26788&quot;/&gt;&lt;wsp:rsid wsp:val=&quot;00B4647E&quot;/&gt;&lt;wsp:rsid wsp:val=&quot;00B94A8A&quot;/&gt;&lt;wsp:rsid wsp:val=&quot;00B95866&quot;/&gt;&lt;wsp:rsid wsp:val=&quot;00BC12C7&quot;/&gt;&lt;wsp:rsid wsp:val=&quot;00BF515B&quot;/&gt;&lt;wsp:rsid wsp:val=&quot;00BF5960&quot;/&gt;&lt;wsp:rsid wsp:val=&quot;00C033C4&quot;/&gt;&lt;wsp:rsid wsp:val=&quot;00C13F5F&quot;/&gt;&lt;wsp:rsid wsp:val=&quot;00C14B35&quot;/&gt;&lt;wsp:rsid wsp:val=&quot;00C83D94&quot;/&gt;&lt;wsp:rsid wsp:val=&quot;00C914EE&quot;/&gt;&lt;wsp:rsid wsp:val=&quot;00C93B66&quot;/&gt;&lt;wsp:rsid wsp:val=&quot;00CB39EC&quot;/&gt;&lt;wsp:rsid wsp:val=&quot;00CD2A2C&quot;/&gt;&lt;wsp:rsid wsp:val=&quot;00CE37D9&quot;/&gt;&lt;wsp:rsid wsp:val=&quot;00CE6603&quot;/&gt;&lt;wsp:rsid wsp:val=&quot;00CF3513&quot;/&gt;&lt;wsp:rsid wsp:val=&quot;00D03A31&quot;/&gt;&lt;wsp:rsid wsp:val=&quot;00D06CA8&quot;/&gt;&lt;wsp:rsid wsp:val=&quot;00D169B4&quot;/&gt;&lt;wsp:rsid wsp:val=&quot;00D333F0&quot;/&gt;&lt;wsp:rsid wsp:val=&quot;00D37BD4&quot;/&gt;&lt;wsp:rsid wsp:val=&quot;00D71D41&quot;/&gt;&lt;wsp:rsid wsp:val=&quot;00DB647A&quot;/&gt;&lt;wsp:rsid wsp:val=&quot;00DC6399&quot;/&gt;&lt;wsp:rsid wsp:val=&quot;00DF704E&quot;/&gt;&lt;wsp:rsid wsp:val=&quot;00E2474A&quot;/&gt;&lt;wsp:rsid wsp:val=&quot;00E4652E&quot;/&gt;&lt;wsp:rsid wsp:val=&quot;00E544AF&quot;/&gt;&lt;wsp:rsid wsp:val=&quot;00E6422D&quot;/&gt;&lt;wsp:rsid wsp:val=&quot;00EB1154&quot;/&gt;&lt;wsp:rsid wsp:val=&quot;00F226F8&quot;/&gt;&lt;wsp:rsid wsp:val=&quot;00F25C2B&quot;/&gt;&lt;wsp:rsid wsp:val=&quot;00F415CA&quot;/&gt;&lt;wsp:rsid wsp:val=&quot;00F52B13&quot;/&gt;&lt;wsp:rsid wsp:val=&quot;00F56BBC&quot;/&gt;&lt;wsp:rsid wsp:val=&quot;00F77A12&quot;/&gt;&lt;wsp:rsid wsp:val=&quot;00FA7092&quot;/&gt;&lt;wsp:rsid wsp:val=&quot;00FD6D2B&quot;/&gt;&lt;wsp:rsid wsp:val=&quot;00FD71EA&quot;/&gt;&lt;wsp:rsid wsp:val=&quot;00FF51D0&quot;/&gt;&lt;wsp:rsid wsp:val=&quot;00FF7626&quot;/&gt;&lt;/wsp:rsids&gt;&lt;/w:docPr&gt;&lt;w:body&gt;&lt;w:p wsp:rsidR=&quot;00000000&quot; wsp:rsidRDefault=&quot;00CE37D9&quot;&gt;&lt;m:oMathPara&gt;&lt;m:oMath&gt;&lt;m:r&gt;&lt;m:rPr&gt;&lt;m:sty m:val=&quot;p&quot;/&gt;&lt;/m:rPr&gt;&lt;w:rPr&gt;&lt;w:rFonts w:ascii=&quot;Cambria Math&quot; w:h-ansi=&quot;Cambria Math&quot; w:cs=&quot;Times New Roman&quot;/&gt;&lt;wx:font wx:val=&quot;Cambria Math&quot;/&gt;&lt;w:sz w:val=&quot;24&quot;/&gt;&lt;w:sz-cs w:val=&quot;24&quot;/&gt;&lt;/w:rPr&gt;&lt;m:t&gt;Ï†&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443C02">
        <w:rPr>
          <w:rFonts w:ascii="Times New Roman" w:hAnsi="Times New Roman" w:cs="Times New Roman"/>
          <w:sz w:val="24"/>
          <w:szCs w:val="24"/>
          <w:lang w:val="en-US"/>
        </w:rPr>
        <w:t xml:space="preserve"> ≤ 1.                       (4)</w:t>
      </w:r>
    </w:p>
    <w:p w:rsidR="00824C5D" w:rsidRPr="00443C02" w:rsidRDefault="00824C5D" w:rsidP="00824C5D">
      <w:pPr>
        <w:ind w:right="-1"/>
        <w:jc w:val="both"/>
        <w:rPr>
          <w:rFonts w:ascii="Times New Roman" w:hAnsi="Times New Roman" w:cs="Times New Roman"/>
          <w:sz w:val="24"/>
          <w:szCs w:val="24"/>
          <w:lang w:val="en-US"/>
        </w:rPr>
      </w:pPr>
    </w:p>
    <w:p w:rsidR="00824C5D" w:rsidRPr="00A44921" w:rsidRDefault="00824C5D" w:rsidP="00824C5D">
      <w:pPr>
        <w:spacing w:before="20" w:after="20" w:line="360" w:lineRule="auto"/>
        <w:ind w:right="-1"/>
        <w:jc w:val="both"/>
        <w:rPr>
          <w:rFonts w:ascii="Times New Roman" w:hAnsi="Times New Roman" w:cs="Times New Roman"/>
          <w:vanish/>
          <w:sz w:val="24"/>
          <w:szCs w:val="24"/>
        </w:rPr>
      </w:pPr>
    </w:p>
    <w:p w:rsidR="00824C5D" w:rsidRDefault="00824C5D" w:rsidP="00824C5D">
      <w:pPr>
        <w:spacing w:before="20" w:after="20" w:line="360" w:lineRule="auto"/>
        <w:ind w:right="-1" w:firstLine="709"/>
        <w:jc w:val="both"/>
        <w:rPr>
          <w:rFonts w:ascii="Times New Roman" w:hAnsi="Times New Roman" w:cs="Times New Roman"/>
          <w:sz w:val="24"/>
          <w:szCs w:val="24"/>
          <w:lang w:val="en-US"/>
        </w:rPr>
      </w:pPr>
      <w:r w:rsidRPr="00A44921">
        <w:rPr>
          <w:rFonts w:ascii="Times New Roman" w:hAnsi="Times New Roman" w:cs="Times New Roman"/>
          <w:sz w:val="24"/>
          <w:szCs w:val="24"/>
          <w:lang w:val="en-US"/>
        </w:rPr>
        <w:t xml:space="preserve">In search of simplification, the calculation of a numeric constant, </w:t>
      </w:r>
      <w:r w:rsidRPr="00A44921">
        <w:rPr>
          <w:rFonts w:ascii="Times New Roman" w:hAnsi="Times New Roman" w:cs="Times New Roman"/>
          <w:sz w:val="24"/>
          <w:szCs w:val="24"/>
        </w:rPr>
        <w:t>β</w:t>
      </w:r>
      <w:r w:rsidRPr="00A44921">
        <w:rPr>
          <w:rFonts w:ascii="Times New Roman" w:hAnsi="Times New Roman" w:cs="Times New Roman"/>
          <w:sz w:val="24"/>
          <w:szCs w:val="24"/>
          <w:lang w:val="en-US"/>
        </w:rPr>
        <w:t xml:space="preserve">, normalizes the unit of the area, obtaining the values of </w:t>
      </w:r>
      <w:r w:rsidRPr="00A44921">
        <w:rPr>
          <w:rFonts w:ascii="Times New Roman" w:hAnsi="Times New Roman" w:cs="Times New Roman"/>
          <w:sz w:val="24"/>
          <w:szCs w:val="24"/>
        </w:rPr>
        <w:t>γ</w:t>
      </w:r>
      <w:r w:rsidRPr="00A44921">
        <w:rPr>
          <w:rFonts w:ascii="Times New Roman" w:hAnsi="Times New Roman" w:cs="Times New Roman"/>
          <w:sz w:val="24"/>
          <w:szCs w:val="24"/>
          <w:lang w:val="en-US"/>
        </w:rPr>
        <w:t xml:space="preserve">´, </w:t>
      </w:r>
      <w:r w:rsidRPr="00A44921">
        <w:rPr>
          <w:rFonts w:ascii="Times New Roman" w:hAnsi="Times New Roman" w:cs="Times New Roman"/>
          <w:sz w:val="24"/>
          <w:szCs w:val="24"/>
        </w:rPr>
        <w:t>τ</w:t>
      </w:r>
      <w:r w:rsidRPr="00A44921">
        <w:rPr>
          <w:rFonts w:ascii="Times New Roman" w:hAnsi="Times New Roman" w:cs="Times New Roman"/>
          <w:sz w:val="24"/>
          <w:szCs w:val="24"/>
          <w:lang w:val="en-US"/>
        </w:rPr>
        <w:t xml:space="preserve">´ and </w:t>
      </w:r>
      <w:r w:rsidR="00902BCA">
        <w:rPr>
          <w:position w:val="-6"/>
        </w:rPr>
        <w:pict>
          <v:shape id="_x0000_i1026"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08&quot;/&gt;&lt;w:hyphenationZone w:val=&quot;425&quot;/&gt;&lt;w:punctuationKerning/&gt;&lt;w:characterSpacingControl w:val=&quot;DontCompress&quot;/&gt;&lt;w:optimizeForBrowser/&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6F8&quot;/&gt;&lt;wsp:rsid wsp:val=&quot;0001459F&quot;/&gt;&lt;wsp:rsid wsp:val=&quot;00036454&quot;/&gt;&lt;wsp:rsid wsp:val=&quot;00072B07&quot;/&gt;&lt;wsp:rsid wsp:val=&quot;0007667A&quot;/&gt;&lt;wsp:rsid wsp:val=&quot;00094DD2&quot;/&gt;&lt;wsp:rsid wsp:val=&quot;00094E21&quot;/&gt;&lt;wsp:rsid wsp:val=&quot;000B6DB4&quot;/&gt;&lt;wsp:rsid wsp:val=&quot;000E5E8F&quot;/&gt;&lt;wsp:rsid wsp:val=&quot;00121FDA&quot;/&gt;&lt;wsp:rsid wsp:val=&quot;00122049&quot;/&gt;&lt;wsp:rsid wsp:val=&quot;001872CC&quot;/&gt;&lt;wsp:rsid wsp:val=&quot;001B3F29&quot;/&gt;&lt;wsp:rsid wsp:val=&quot;001B570A&quot;/&gt;&lt;wsp:rsid wsp:val=&quot;001B5C85&quot;/&gt;&lt;wsp:rsid wsp:val=&quot;001C4A45&quot;/&gt;&lt;wsp:rsid wsp:val=&quot;001C6273&quot;/&gt;&lt;wsp:rsid wsp:val=&quot;001D4579&quot;/&gt;&lt;wsp:rsid wsp:val=&quot;001D683C&quot;/&gt;&lt;wsp:rsid wsp:val=&quot;001F2973&quot;/&gt;&lt;wsp:rsid wsp:val=&quot;002024A2&quot;/&gt;&lt;wsp:rsid wsp:val=&quot;00206358&quot;/&gt;&lt;wsp:rsid wsp:val=&quot;0025605A&quot;/&gt;&lt;wsp:rsid wsp:val=&quot;002A4711&quot;/&gt;&lt;wsp:rsid wsp:val=&quot;002B239F&quot;/&gt;&lt;wsp:rsid wsp:val=&quot;002B657D&quot;/&gt;&lt;wsp:rsid wsp:val=&quot;002C1559&quot;/&gt;&lt;wsp:rsid wsp:val=&quot;002E57B9&quot;/&gt;&lt;wsp:rsid wsp:val=&quot;00314ACC&quot;/&gt;&lt;wsp:rsid wsp:val=&quot;00314D9F&quot;/&gt;&lt;wsp:rsid wsp:val=&quot;00331063&quot;/&gt;&lt;wsp:rsid wsp:val=&quot;003B1FFC&quot;/&gt;&lt;wsp:rsid wsp:val=&quot;003B33DF&quot;/&gt;&lt;wsp:rsid wsp:val=&quot;003B6232&quot;/&gt;&lt;wsp:rsid wsp:val=&quot;00405795&quot;/&gt;&lt;wsp:rsid wsp:val=&quot;00425AB5&quot;/&gt;&lt;wsp:rsid wsp:val=&quot;004405F1&quot;/&gt;&lt;wsp:rsid wsp:val=&quot;00443C02&quot;/&gt;&lt;wsp:rsid wsp:val=&quot;004513FA&quot;/&gt;&lt;wsp:rsid wsp:val=&quot;0049688B&quot;/&gt;&lt;wsp:rsid wsp:val=&quot;004A1512&quot;/&gt;&lt;wsp:rsid wsp:val=&quot;004E4611&quot;/&gt;&lt;wsp:rsid wsp:val=&quot;004F1E64&quot;/&gt;&lt;wsp:rsid wsp:val=&quot;004F2436&quot;/&gt;&lt;wsp:rsid wsp:val=&quot;005263DC&quot;/&gt;&lt;wsp:rsid wsp:val=&quot;00527404&quot;/&gt;&lt;wsp:rsid wsp:val=&quot;00530A4F&quot;/&gt;&lt;wsp:rsid wsp:val=&quot;00554A46&quot;/&gt;&lt;wsp:rsid wsp:val=&quot;00565A8B&quot;/&gt;&lt;wsp:rsid wsp:val=&quot;00592A71&quot;/&gt;&lt;wsp:rsid wsp:val=&quot;005C2D94&quot;/&gt;&lt;wsp:rsid wsp:val=&quot;005C63A4&quot;/&gt;&lt;wsp:rsid wsp:val=&quot;005E27A6&quot;/&gt;&lt;wsp:rsid wsp:val=&quot;005E7892&quot;/&gt;&lt;wsp:rsid wsp:val=&quot;00613663&quot;/&gt;&lt;wsp:rsid wsp:val=&quot;00617964&quot;/&gt;&lt;wsp:rsid wsp:val=&quot;006228ED&quot;/&gt;&lt;wsp:rsid wsp:val=&quot;00624A0B&quot;/&gt;&lt;wsp:rsid wsp:val=&quot;0062648A&quot;/&gt;&lt;wsp:rsid wsp:val=&quot;006446A8&quot;/&gt;&lt;wsp:rsid wsp:val=&quot;006578C4&quot;/&gt;&lt;wsp:rsid wsp:val=&quot;006A40C6&quot;/&gt;&lt;wsp:rsid wsp:val=&quot;006A4E43&quot;/&gt;&lt;wsp:rsid wsp:val=&quot;006A72EB&quot;/&gt;&lt;wsp:rsid wsp:val=&quot;006B18FD&quot;/&gt;&lt;wsp:rsid wsp:val=&quot;006D693B&quot;/&gt;&lt;wsp:rsid wsp:val=&quot;006E3975&quot;/&gt;&lt;wsp:rsid wsp:val=&quot;00703D0E&quot;/&gt;&lt;wsp:rsid wsp:val=&quot;007414BE&quot;/&gt;&lt;wsp:rsid wsp:val=&quot;007432AE&quot;/&gt;&lt;wsp:rsid wsp:val=&quot;00753173&quot;/&gt;&lt;wsp:rsid wsp:val=&quot;00765B58&quot;/&gt;&lt;wsp:rsid wsp:val=&quot;007A1CA3&quot;/&gt;&lt;wsp:rsid wsp:val=&quot;007A2D4A&quot;/&gt;&lt;wsp:rsid wsp:val=&quot;007D51C6&quot;/&gt;&lt;wsp:rsid wsp:val=&quot;00805B21&quot;/&gt;&lt;wsp:rsid wsp:val=&quot;00805F0F&quot;/&gt;&lt;wsp:rsid wsp:val=&quot;00851FD8&quot;/&gt;&lt;wsp:rsid wsp:val=&quot;0087104F&quot;/&gt;&lt;wsp:rsid wsp:val=&quot;00883C67&quot;/&gt;&lt;wsp:rsid wsp:val=&quot;00891F0A&quot;/&gt;&lt;wsp:rsid wsp:val=&quot;008B42B3&quot;/&gt;&lt;wsp:rsid wsp:val=&quot;008B52D5&quot;/&gt;&lt;wsp:rsid wsp:val=&quot;008C006E&quot;/&gt;&lt;wsp:rsid wsp:val=&quot;008C6DD8&quot;/&gt;&lt;wsp:rsid wsp:val=&quot;008D2E6F&quot;/&gt;&lt;wsp:rsid wsp:val=&quot;00903391&quot;/&gt;&lt;wsp:rsid wsp:val=&quot;00954BFE&quot;/&gt;&lt;wsp:rsid wsp:val=&quot;009607C6&quot;/&gt;&lt;wsp:rsid wsp:val=&quot;00965BE1&quot;/&gt;&lt;wsp:rsid wsp:val=&quot;009B4B02&quot;/&gt;&lt;wsp:rsid wsp:val=&quot;009F4EB0&quot;/&gt;&lt;wsp:rsid wsp:val=&quot;00A2188C&quot;/&gt;&lt;wsp:rsid wsp:val=&quot;00A22790&quot;/&gt;&lt;wsp:rsid wsp:val=&quot;00A44921&quot;/&gt;&lt;wsp:rsid wsp:val=&quot;00A614E1&quot;/&gt;&lt;wsp:rsid wsp:val=&quot;00A66419&quot;/&gt;&lt;wsp:rsid wsp:val=&quot;00A83641&quot;/&gt;&lt;wsp:rsid wsp:val=&quot;00AA30FD&quot;/&gt;&lt;wsp:rsid wsp:val=&quot;00AD0C07&quot;/&gt;&lt;wsp:rsid wsp:val=&quot;00AD2DDE&quot;/&gt;&lt;wsp:rsid wsp:val=&quot;00AD7FD6&quot;/&gt;&lt;wsp:rsid wsp:val=&quot;00AE3D6A&quot;/&gt;&lt;wsp:rsid wsp:val=&quot;00AF19D2&quot;/&gt;&lt;wsp:rsid wsp:val=&quot;00AF62A2&quot;/&gt;&lt;wsp:rsid wsp:val=&quot;00B00858&quot;/&gt;&lt;wsp:rsid wsp:val=&quot;00B00B4F&quot;/&gt;&lt;wsp:rsid wsp:val=&quot;00B26788&quot;/&gt;&lt;wsp:rsid wsp:val=&quot;00B4647E&quot;/&gt;&lt;wsp:rsid wsp:val=&quot;00B94A8A&quot;/&gt;&lt;wsp:rsid wsp:val=&quot;00B95866&quot;/&gt;&lt;wsp:rsid wsp:val=&quot;00BC12C7&quot;/&gt;&lt;wsp:rsid wsp:val=&quot;00BF515B&quot;/&gt;&lt;wsp:rsid wsp:val=&quot;00BF5960&quot;/&gt;&lt;wsp:rsid wsp:val=&quot;00C033C4&quot;/&gt;&lt;wsp:rsid wsp:val=&quot;00C13F5F&quot;/&gt;&lt;wsp:rsid wsp:val=&quot;00C14B35&quot;/&gt;&lt;wsp:rsid wsp:val=&quot;00C83D94&quot;/&gt;&lt;wsp:rsid wsp:val=&quot;00C914EE&quot;/&gt;&lt;wsp:rsid wsp:val=&quot;00C93B66&quot;/&gt;&lt;wsp:rsid wsp:val=&quot;00CB39EC&quot;/&gt;&lt;wsp:rsid wsp:val=&quot;00CD2A2C&quot;/&gt;&lt;wsp:rsid wsp:val=&quot;00CE6603&quot;/&gt;&lt;wsp:rsid wsp:val=&quot;00CF3513&quot;/&gt;&lt;wsp:rsid wsp:val=&quot;00D03A31&quot;/&gt;&lt;wsp:rsid wsp:val=&quot;00D06CA8&quot;/&gt;&lt;wsp:rsid wsp:val=&quot;00D169B4&quot;/&gt;&lt;wsp:rsid wsp:val=&quot;00D333F0&quot;/&gt;&lt;wsp:rsid wsp:val=&quot;00D37BD4&quot;/&gt;&lt;wsp:rsid wsp:val=&quot;00D71D41&quot;/&gt;&lt;wsp:rsid wsp:val=&quot;00DB647A&quot;/&gt;&lt;wsp:rsid wsp:val=&quot;00DC6399&quot;/&gt;&lt;wsp:rsid wsp:val=&quot;00DF704E&quot;/&gt;&lt;wsp:rsid wsp:val=&quot;00E2474A&quot;/&gt;&lt;wsp:rsid wsp:val=&quot;00E4652E&quot;/&gt;&lt;wsp:rsid wsp:val=&quot;00E544AF&quot;/&gt;&lt;wsp:rsid wsp:val=&quot;00E6422D&quot;/&gt;&lt;wsp:rsid wsp:val=&quot;00EB1154&quot;/&gt;&lt;wsp:rsid wsp:val=&quot;00F226F8&quot;/&gt;&lt;wsp:rsid wsp:val=&quot;00F25C2B&quot;/&gt;&lt;wsp:rsid wsp:val=&quot;00F415CA&quot;/&gt;&lt;wsp:rsid wsp:val=&quot;00F52B13&quot;/&gt;&lt;wsp:rsid wsp:val=&quot;00F56BBC&quot;/&gt;&lt;wsp:rsid wsp:val=&quot;00F77A12&quot;/&gt;&lt;wsp:rsid wsp:val=&quot;00FA7092&quot;/&gt;&lt;wsp:rsid wsp:val=&quot;00FD6D2B&quot;/&gt;&lt;wsp:rsid wsp:val=&quot;00FD71EA&quot;/&gt;&lt;wsp:rsid wsp:val=&quot;00FF51D0&quot;/&gt;&lt;wsp:rsid wsp:val=&quot;00FF7626&quot;/&gt;&lt;/wsp:rsids&gt;&lt;/w:docPr&gt;&lt;w:body&gt;&lt;w:p wsp:rsidR=&quot;00000000&quot; wsp:rsidRDefault=&quot;00A22790&quot;&gt;&lt;m:oMathPara&gt;&lt;m:oMath&gt;&lt;m:r&gt;&lt;m:rPr&gt;&lt;m:sty m:val=&quot;p&quot;/&gt;&lt;/m:rPr&gt;&lt;w:rPr&gt;&lt;w:rFonts w:ascii=&quot;Cambria Math&quot; w:h-ansi=&quot;Cambria Math&quot; w:cs=&quot;Times New Roman&quot;/&gt;&lt;wx:font wx:val=&quot;Cambria Math&quot;/&gt;&lt;w:sz w:val=&quot;24&quot;/&gt;&lt;w:sz-cs w:val=&quot;24&quot;/&gt;&lt;/w:rPr&gt;&lt;m:t&gt;Ï†&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A44921">
        <w:rPr>
          <w:rFonts w:ascii="Times New Roman" w:hAnsi="Times New Roman" w:cs="Times New Roman"/>
          <w:sz w:val="24"/>
          <w:szCs w:val="24"/>
          <w:lang w:val="en-US"/>
        </w:rPr>
        <w:t>´, which correspond to the normalized variables of each proxy. That is:</w:t>
      </w:r>
    </w:p>
    <w:p w:rsidR="00824C5D" w:rsidRPr="006578C4" w:rsidRDefault="00824C5D" w:rsidP="00824C5D">
      <w:pPr>
        <w:spacing w:before="20" w:after="20" w:line="360" w:lineRule="auto"/>
        <w:ind w:right="-1" w:firstLine="709"/>
        <w:jc w:val="both"/>
        <w:rPr>
          <w:rFonts w:ascii="Times New Roman" w:hAnsi="Times New Roman" w:cs="Times New Roman"/>
          <w:sz w:val="24"/>
          <w:szCs w:val="24"/>
          <w:lang w:val="en-US"/>
        </w:rPr>
      </w:pPr>
    </w:p>
    <w:p w:rsidR="00824C5D" w:rsidRDefault="00824C5D" w:rsidP="00824C5D">
      <w:pPr>
        <w:ind w:right="-1" w:firstLine="709"/>
        <w:rPr>
          <w:rFonts w:ascii="Times New Roman" w:hAnsi="Times New Roman" w:cs="Times New Roman"/>
          <w:sz w:val="24"/>
          <w:szCs w:val="24"/>
          <w:lang w:val="en-US"/>
        </w:rPr>
      </w:pPr>
      <w:r w:rsidRPr="009607C6">
        <w:rPr>
          <w:rFonts w:ascii="Times New Roman" w:hAnsi="Times New Roman" w:cs="Times New Roman"/>
          <w:sz w:val="24"/>
          <w:szCs w:val="24"/>
          <w:lang w:val="en-US"/>
        </w:rPr>
        <w:t xml:space="preserve">0 ≤ </w:t>
      </w:r>
      <w:r w:rsidRPr="003C6E7E">
        <w:rPr>
          <w:rFonts w:ascii="Times New Roman" w:hAnsi="Times New Roman" w:cs="Times New Roman"/>
          <w:sz w:val="24"/>
          <w:szCs w:val="24"/>
        </w:rPr>
        <w:t>γ</w:t>
      </w:r>
      <w:r w:rsidRPr="009607C6">
        <w:rPr>
          <w:rFonts w:ascii="Times New Roman" w:hAnsi="Times New Roman" w:cs="Times New Roman"/>
          <w:sz w:val="24"/>
          <w:szCs w:val="24"/>
          <w:lang w:val="en-US"/>
        </w:rPr>
        <w:t xml:space="preserve">´≤ </w:t>
      </w:r>
      <w:r w:rsidRPr="003C6E7E">
        <w:rPr>
          <w:rFonts w:ascii="Times New Roman" w:hAnsi="Times New Roman" w:cs="Times New Roman"/>
          <w:sz w:val="24"/>
          <w:szCs w:val="24"/>
        </w:rPr>
        <w:t>β</w:t>
      </w:r>
      <w:r w:rsidRPr="009607C6">
        <w:rPr>
          <w:rFonts w:ascii="Times New Roman" w:hAnsi="Times New Roman" w:cs="Times New Roman"/>
          <w:sz w:val="24"/>
          <w:szCs w:val="24"/>
          <w:lang w:val="en-US"/>
        </w:rPr>
        <w:t xml:space="preserve">;                    0 ≤ </w:t>
      </w:r>
      <w:r w:rsidRPr="003C6E7E">
        <w:rPr>
          <w:rFonts w:ascii="Times New Roman" w:hAnsi="Times New Roman" w:cs="Times New Roman"/>
          <w:sz w:val="24"/>
          <w:szCs w:val="24"/>
        </w:rPr>
        <w:t>τ</w:t>
      </w:r>
      <w:r w:rsidRPr="009607C6">
        <w:rPr>
          <w:rFonts w:ascii="Times New Roman" w:hAnsi="Times New Roman" w:cs="Times New Roman"/>
          <w:sz w:val="24"/>
          <w:szCs w:val="24"/>
          <w:lang w:val="en-US"/>
        </w:rPr>
        <w:t xml:space="preserve">´≤ </w:t>
      </w:r>
      <w:r w:rsidRPr="003C6E7E">
        <w:rPr>
          <w:rFonts w:ascii="Times New Roman" w:hAnsi="Times New Roman" w:cs="Times New Roman"/>
          <w:sz w:val="24"/>
          <w:szCs w:val="24"/>
        </w:rPr>
        <w:t>β</w:t>
      </w:r>
      <w:r w:rsidRPr="009607C6">
        <w:rPr>
          <w:rFonts w:ascii="Times New Roman" w:hAnsi="Times New Roman" w:cs="Times New Roman"/>
          <w:sz w:val="24"/>
          <w:szCs w:val="24"/>
          <w:lang w:val="en-US"/>
        </w:rPr>
        <w:t xml:space="preserve">;                         0 ≤ </w:t>
      </w:r>
      <w:r w:rsidR="00902BCA">
        <w:rPr>
          <w:position w:val="-6"/>
        </w:rPr>
        <w:pict>
          <v:shape id="_x0000_i1027"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5&quot;/&gt;&lt;w:doNotEmbedSystemFonts/&gt;&lt;w:defaultTabStop w:val=&quot;708&quot;/&gt;&lt;w:hyphenationZone w:val=&quot;425&quot;/&gt;&lt;w:punctuationKerning/&gt;&lt;w:characterSpacingControl w:val=&quot;DontCompress&quot;/&gt;&lt;w:optimizeForBrowser/&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6F8&quot;/&gt;&lt;wsp:rsid wsp:val=&quot;0001459F&quot;/&gt;&lt;wsp:rsid wsp:val=&quot;00036454&quot;/&gt;&lt;wsp:rsid wsp:val=&quot;00072B07&quot;/&gt;&lt;wsp:rsid wsp:val=&quot;0007667A&quot;/&gt;&lt;wsp:rsid wsp:val=&quot;00094DD2&quot;/&gt;&lt;wsp:rsid wsp:val=&quot;00094E21&quot;/&gt;&lt;wsp:rsid wsp:val=&quot;000B6DB4&quot;/&gt;&lt;wsp:rsid wsp:val=&quot;000E5E8F&quot;/&gt;&lt;wsp:rsid wsp:val=&quot;00121FDA&quot;/&gt;&lt;wsp:rsid wsp:val=&quot;00122049&quot;/&gt;&lt;wsp:rsid wsp:val=&quot;001872CC&quot;/&gt;&lt;wsp:rsid wsp:val=&quot;001A7698&quot;/&gt;&lt;wsp:rsid wsp:val=&quot;001B3F29&quot;/&gt;&lt;wsp:rsid wsp:val=&quot;001B570A&quot;/&gt;&lt;wsp:rsid wsp:val=&quot;001B5C85&quot;/&gt;&lt;wsp:rsid wsp:val=&quot;001C4A45&quot;/&gt;&lt;wsp:rsid wsp:val=&quot;001C6273&quot;/&gt;&lt;wsp:rsid wsp:val=&quot;001D4579&quot;/&gt;&lt;wsp:rsid wsp:val=&quot;001D683C&quot;/&gt;&lt;wsp:rsid wsp:val=&quot;001F2973&quot;/&gt;&lt;wsp:rsid wsp:val=&quot;002024A2&quot;/&gt;&lt;wsp:rsid wsp:val=&quot;00206358&quot;/&gt;&lt;wsp:rsid wsp:val=&quot;0025605A&quot;/&gt;&lt;wsp:rsid wsp:val=&quot;002A4711&quot;/&gt;&lt;wsp:rsid wsp:val=&quot;002B239F&quot;/&gt;&lt;wsp:rsid wsp:val=&quot;002B657D&quot;/&gt;&lt;wsp:rsid wsp:val=&quot;002C1559&quot;/&gt;&lt;wsp:rsid wsp:val=&quot;002E57B9&quot;/&gt;&lt;wsp:rsid wsp:val=&quot;00314ACC&quot;/&gt;&lt;wsp:rsid wsp:val=&quot;00314D9F&quot;/&gt;&lt;wsp:rsid wsp:val=&quot;00331063&quot;/&gt;&lt;wsp:rsid wsp:val=&quot;003B1FFC&quot;/&gt;&lt;wsp:rsid wsp:val=&quot;003B33DF&quot;/&gt;&lt;wsp:rsid wsp:val=&quot;003B6232&quot;/&gt;&lt;wsp:rsid wsp:val=&quot;00405795&quot;/&gt;&lt;wsp:rsid wsp:val=&quot;00425AB5&quot;/&gt;&lt;wsp:rsid wsp:val=&quot;004405F1&quot;/&gt;&lt;wsp:rsid wsp:val=&quot;00443C02&quot;/&gt;&lt;wsp:rsid wsp:val=&quot;004513FA&quot;/&gt;&lt;wsp:rsid wsp:val=&quot;0049688B&quot;/&gt;&lt;wsp:rsid wsp:val=&quot;004A1512&quot;/&gt;&lt;wsp:rsid wsp:val=&quot;004E4611&quot;/&gt;&lt;wsp:rsid wsp:val=&quot;004F1E64&quot;/&gt;&lt;wsp:rsid wsp:val=&quot;004F2436&quot;/&gt;&lt;wsp:rsid wsp:val=&quot;005263DC&quot;/&gt;&lt;wsp:rsid wsp:val=&quot;00527404&quot;/&gt;&lt;wsp:rsid wsp:val=&quot;00530A4F&quot;/&gt;&lt;wsp:rsid wsp:val=&quot;00554A46&quot;/&gt;&lt;wsp:rsid wsp:val=&quot;00565A8B&quot;/&gt;&lt;wsp:rsid wsp:val=&quot;00592A71&quot;/&gt;&lt;wsp:rsid wsp:val=&quot;005C2D94&quot;/&gt;&lt;wsp:rsid wsp:val=&quot;005C63A4&quot;/&gt;&lt;wsp:rsid wsp:val=&quot;005E27A6&quot;/&gt;&lt;wsp:rsid wsp:val=&quot;005E7892&quot;/&gt;&lt;wsp:rsid wsp:val=&quot;00613663&quot;/&gt;&lt;wsp:rsid wsp:val=&quot;00617964&quot;/&gt;&lt;wsp:rsid wsp:val=&quot;006228ED&quot;/&gt;&lt;wsp:rsid wsp:val=&quot;00624A0B&quot;/&gt;&lt;wsp:rsid wsp:val=&quot;0062648A&quot;/&gt;&lt;wsp:rsid wsp:val=&quot;006446A8&quot;/&gt;&lt;wsp:rsid wsp:val=&quot;006578C4&quot;/&gt;&lt;wsp:rsid wsp:val=&quot;006A40C6&quot;/&gt;&lt;wsp:rsid wsp:val=&quot;006A4E43&quot;/&gt;&lt;wsp:rsid wsp:val=&quot;006A72EB&quot;/&gt;&lt;wsp:rsid wsp:val=&quot;006B18FD&quot;/&gt;&lt;wsp:rsid wsp:val=&quot;006D693B&quot;/&gt;&lt;wsp:rsid wsp:val=&quot;006E3975&quot;/&gt;&lt;wsp:rsid wsp:val=&quot;00703D0E&quot;/&gt;&lt;wsp:rsid wsp:val=&quot;007414BE&quot;/&gt;&lt;wsp:rsid wsp:val=&quot;007432AE&quot;/&gt;&lt;wsp:rsid wsp:val=&quot;00753173&quot;/&gt;&lt;wsp:rsid wsp:val=&quot;00765B58&quot;/&gt;&lt;wsp:rsid wsp:val=&quot;007A1CA3&quot;/&gt;&lt;wsp:rsid wsp:val=&quot;007A2D4A&quot;/&gt;&lt;wsp:rsid wsp:val=&quot;007D51C6&quot;/&gt;&lt;wsp:rsid wsp:val=&quot;00805B21&quot;/&gt;&lt;wsp:rsid wsp:val=&quot;00805F0F&quot;/&gt;&lt;wsp:rsid wsp:val=&quot;00851FD8&quot;/&gt;&lt;wsp:rsid wsp:val=&quot;0087104F&quot;/&gt;&lt;wsp:rsid wsp:val=&quot;00883C67&quot;/&gt;&lt;wsp:rsid wsp:val=&quot;00891F0A&quot;/&gt;&lt;wsp:rsid wsp:val=&quot;008B42B3&quot;/&gt;&lt;wsp:rsid wsp:val=&quot;008B52D5&quot;/&gt;&lt;wsp:rsid wsp:val=&quot;008C006E&quot;/&gt;&lt;wsp:rsid wsp:val=&quot;008C6DD8&quot;/&gt;&lt;wsp:rsid wsp:val=&quot;008D2E6F&quot;/&gt;&lt;wsp:rsid wsp:val=&quot;00903391&quot;/&gt;&lt;wsp:rsid wsp:val=&quot;00954BFE&quot;/&gt;&lt;wsp:rsid wsp:val=&quot;009607C6&quot;/&gt;&lt;wsp:rsid wsp:val=&quot;00965BE1&quot;/&gt;&lt;wsp:rsid wsp:val=&quot;009B4B02&quot;/&gt;&lt;wsp:rsid wsp:val=&quot;009F4EB0&quot;/&gt;&lt;wsp:rsid wsp:val=&quot;00A2188C&quot;/&gt;&lt;wsp:rsid wsp:val=&quot;00A44921&quot;/&gt;&lt;wsp:rsid wsp:val=&quot;00A614E1&quot;/&gt;&lt;wsp:rsid wsp:val=&quot;00A66419&quot;/&gt;&lt;wsp:rsid wsp:val=&quot;00A83641&quot;/&gt;&lt;wsp:rsid wsp:val=&quot;00AA30FD&quot;/&gt;&lt;wsp:rsid wsp:val=&quot;00AD0C07&quot;/&gt;&lt;wsp:rsid wsp:val=&quot;00AD2DDE&quot;/&gt;&lt;wsp:rsid wsp:val=&quot;00AD7FD6&quot;/&gt;&lt;wsp:rsid wsp:val=&quot;00AE3D6A&quot;/&gt;&lt;wsp:rsid wsp:val=&quot;00AF19D2&quot;/&gt;&lt;wsp:rsid wsp:val=&quot;00AF62A2&quot;/&gt;&lt;wsp:rsid wsp:val=&quot;00B00858&quot;/&gt;&lt;wsp:rsid wsp:val=&quot;00B00B4F&quot;/&gt;&lt;wsp:rsid wsp:val=&quot;00B26788&quot;/&gt;&lt;wsp:rsid wsp:val=&quot;00B4647E&quot;/&gt;&lt;wsp:rsid wsp:val=&quot;00B94A8A&quot;/&gt;&lt;wsp:rsid wsp:val=&quot;00B95866&quot;/&gt;&lt;wsp:rsid wsp:val=&quot;00BC12C7&quot;/&gt;&lt;wsp:rsid wsp:val=&quot;00BF515B&quot;/&gt;&lt;wsp:rsid wsp:val=&quot;00BF5960&quot;/&gt;&lt;wsp:rsid wsp:val=&quot;00C033C4&quot;/&gt;&lt;wsp:rsid wsp:val=&quot;00C13F5F&quot;/&gt;&lt;wsp:rsid wsp:val=&quot;00C14B35&quot;/&gt;&lt;wsp:rsid wsp:val=&quot;00C83D94&quot;/&gt;&lt;wsp:rsid wsp:val=&quot;00C914EE&quot;/&gt;&lt;wsp:rsid wsp:val=&quot;00C93B66&quot;/&gt;&lt;wsp:rsid wsp:val=&quot;00CB39EC&quot;/&gt;&lt;wsp:rsid wsp:val=&quot;00CD2A2C&quot;/&gt;&lt;wsp:rsid wsp:val=&quot;00CE6603&quot;/&gt;&lt;wsp:rsid wsp:val=&quot;00CF3513&quot;/&gt;&lt;wsp:rsid wsp:val=&quot;00D03A31&quot;/&gt;&lt;wsp:rsid wsp:val=&quot;00D06CA8&quot;/&gt;&lt;wsp:rsid wsp:val=&quot;00D169B4&quot;/&gt;&lt;wsp:rsid wsp:val=&quot;00D333F0&quot;/&gt;&lt;wsp:rsid wsp:val=&quot;00D37BD4&quot;/&gt;&lt;wsp:rsid wsp:val=&quot;00D71D41&quot;/&gt;&lt;wsp:rsid wsp:val=&quot;00DB647A&quot;/&gt;&lt;wsp:rsid wsp:val=&quot;00DC6399&quot;/&gt;&lt;wsp:rsid wsp:val=&quot;00DF704E&quot;/&gt;&lt;wsp:rsid wsp:val=&quot;00E2474A&quot;/&gt;&lt;wsp:rsid wsp:val=&quot;00E4652E&quot;/&gt;&lt;wsp:rsid wsp:val=&quot;00E544AF&quot;/&gt;&lt;wsp:rsid wsp:val=&quot;00E6422D&quot;/&gt;&lt;wsp:rsid wsp:val=&quot;00EB1154&quot;/&gt;&lt;wsp:rsid wsp:val=&quot;00F226F8&quot;/&gt;&lt;wsp:rsid wsp:val=&quot;00F25C2B&quot;/&gt;&lt;wsp:rsid wsp:val=&quot;00F415CA&quot;/&gt;&lt;wsp:rsid wsp:val=&quot;00F52B13&quot;/&gt;&lt;wsp:rsid wsp:val=&quot;00F56BBC&quot;/&gt;&lt;wsp:rsid wsp:val=&quot;00F77A12&quot;/&gt;&lt;wsp:rsid wsp:val=&quot;00FA7092&quot;/&gt;&lt;wsp:rsid wsp:val=&quot;00FD6D2B&quot;/&gt;&lt;wsp:rsid wsp:val=&quot;00FD71EA&quot;/&gt;&lt;wsp:rsid wsp:val=&quot;00FF51D0&quot;/&gt;&lt;wsp:rsid wsp:val=&quot;00FF7626&quot;/&gt;&lt;/wsp:rsids&gt;&lt;/w:docPr&gt;&lt;w:body&gt;&lt;w:p wsp:rsidR=&quot;00000000&quot; wsp:rsidRDefault=&quot;001A7698&quot;&gt;&lt;m:oMathPara&gt;&lt;m:oMath&gt;&lt;m:r&gt;&lt;m:rPr&gt;&lt;m:sty m:val=&quot;p&quot;/&gt;&lt;/m:rPr&gt;&lt;w:rPr&gt;&lt;w:rFonts w:ascii=&quot;Cambria Math&quot; w:h-ansi=&quot;Cambria Math&quot; w:cs=&quot;Times New Roman&quot;/&gt;&lt;wx:font wx:val=&quot;Cambria Math&quot;/&gt;&lt;w:sz w:val=&quot;24&quot;/&gt;&lt;w:sz-cs w:val=&quot;24&quot;/&gt;&lt;/w:rPr&gt;&lt;m:t&gt;Ï†&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9607C6">
        <w:rPr>
          <w:rFonts w:ascii="Times New Roman" w:hAnsi="Times New Roman" w:cs="Times New Roman"/>
          <w:sz w:val="24"/>
          <w:szCs w:val="24"/>
          <w:lang w:val="en-US"/>
        </w:rPr>
        <w:t xml:space="preserve">´≤ </w:t>
      </w:r>
      <w:r w:rsidRPr="003C6E7E">
        <w:rPr>
          <w:rFonts w:ascii="Times New Roman" w:hAnsi="Times New Roman" w:cs="Times New Roman"/>
          <w:sz w:val="24"/>
          <w:szCs w:val="24"/>
        </w:rPr>
        <w:t>β</w:t>
      </w:r>
      <w:r w:rsidRPr="009607C6">
        <w:rPr>
          <w:rFonts w:ascii="Times New Roman" w:hAnsi="Times New Roman" w:cs="Times New Roman"/>
          <w:sz w:val="24"/>
          <w:szCs w:val="24"/>
          <w:lang w:val="en-US"/>
        </w:rPr>
        <w:t xml:space="preserve">.                        </w:t>
      </w:r>
      <w:r w:rsidRPr="00F56BBC">
        <w:rPr>
          <w:rFonts w:ascii="Times New Roman" w:hAnsi="Times New Roman" w:cs="Times New Roman"/>
          <w:sz w:val="24"/>
          <w:szCs w:val="24"/>
          <w:lang w:val="en-US"/>
        </w:rPr>
        <w:t>(5)</w:t>
      </w:r>
    </w:p>
    <w:p w:rsidR="00824C5D" w:rsidRDefault="00824C5D" w:rsidP="00824C5D">
      <w:pPr>
        <w:ind w:right="-1" w:firstLine="709"/>
        <w:rPr>
          <w:rFonts w:ascii="Times New Roman" w:hAnsi="Times New Roman" w:cs="Times New Roman"/>
          <w:sz w:val="24"/>
          <w:szCs w:val="24"/>
          <w:lang w:val="en-US"/>
        </w:rPr>
      </w:pPr>
    </w:p>
    <w:p w:rsidR="00824C5D" w:rsidRPr="00F56BBC" w:rsidRDefault="00824C5D" w:rsidP="00824C5D">
      <w:pPr>
        <w:ind w:right="-1" w:firstLine="709"/>
        <w:rPr>
          <w:rFonts w:ascii="Times New Roman" w:hAnsi="Times New Roman" w:cs="Times New Roman"/>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normalization</w:t>
      </w:r>
      <w:r w:rsidRPr="003B1FFC">
        <w:rPr>
          <w:rFonts w:ascii="Times New Roman" w:hAnsi="Times New Roman" w:cs="Times New Roman"/>
          <w:sz w:val="24"/>
          <w:szCs w:val="24"/>
          <w:lang w:val="en-US"/>
        </w:rPr>
        <w:t xml:space="preserve"> process was based on the linear transformation proposed by Medrano-B and Teixeira (2013).In this way, it is possible to describe the </w:t>
      </w:r>
      <w:r>
        <w:rPr>
          <w:rFonts w:ascii="Times New Roman" w:hAnsi="Times New Roman" w:cs="Times New Roman"/>
          <w:sz w:val="24"/>
          <w:szCs w:val="24"/>
          <w:lang w:val="en-US"/>
        </w:rPr>
        <w:t>performance of each variable by a linear function</w:t>
      </w:r>
      <w:r w:rsidRPr="003B1FFC">
        <w:rPr>
          <w:rFonts w:ascii="Times New Roman" w:hAnsi="Times New Roman" w:cs="Times New Roman"/>
          <w:sz w:val="24"/>
          <w:szCs w:val="24"/>
          <w:lang w:val="en-US"/>
        </w:rPr>
        <w:t>.</w:t>
      </w:r>
      <w:r w:rsidR="00FA3EA9">
        <w:rPr>
          <w:rFonts w:ascii="Times New Roman" w:hAnsi="Times New Roman" w:cs="Times New Roman"/>
          <w:sz w:val="24"/>
          <w:szCs w:val="24"/>
          <w:lang w:val="en-US"/>
        </w:rPr>
        <w:t xml:space="preserve"> </w:t>
      </w:r>
      <w:r w:rsidRPr="003B1FFC">
        <w:rPr>
          <w:rFonts w:ascii="Times New Roman" w:hAnsi="Times New Roman" w:cs="Times New Roman"/>
          <w:sz w:val="24"/>
          <w:szCs w:val="24"/>
          <w:lang w:val="en-US"/>
        </w:rPr>
        <w:t>According t</w:t>
      </w:r>
      <w:r>
        <w:rPr>
          <w:rFonts w:ascii="Times New Roman" w:hAnsi="Times New Roman" w:cs="Times New Roman"/>
          <w:sz w:val="24"/>
          <w:szCs w:val="24"/>
          <w:lang w:val="en-US"/>
        </w:rPr>
        <w:t>o Figure 2, it is concluded</w:t>
      </w:r>
      <w:r w:rsidRPr="003B1FFC">
        <w:rPr>
          <w:rFonts w:ascii="Times New Roman" w:hAnsi="Times New Roman" w:cs="Times New Roman"/>
          <w:sz w:val="24"/>
          <w:szCs w:val="24"/>
          <w:lang w:val="en-US"/>
        </w:rPr>
        <w:t xml:space="preserve"> any point on the axis </w:t>
      </w:r>
      <w:r w:rsidRPr="003B1FFC">
        <w:rPr>
          <w:rFonts w:ascii="Times New Roman" w:hAnsi="Times New Roman" w:cs="Times New Roman"/>
          <w:sz w:val="24"/>
          <w:szCs w:val="24"/>
        </w:rPr>
        <w:t>γ</w:t>
      </w:r>
      <w:r w:rsidRPr="003B1FFC">
        <w:rPr>
          <w:rFonts w:ascii="Times New Roman" w:hAnsi="Times New Roman" w:cs="Times New Roman"/>
          <w:sz w:val="24"/>
          <w:szCs w:val="24"/>
          <w:lang w:val="en-US"/>
        </w:rPr>
        <w:t xml:space="preserve">` corresponds to a point on the axis </w:t>
      </w:r>
      <w:r w:rsidRPr="003B1FFC">
        <w:rPr>
          <w:rFonts w:ascii="Times New Roman" w:hAnsi="Times New Roman" w:cs="Times New Roman"/>
          <w:sz w:val="24"/>
          <w:szCs w:val="24"/>
        </w:rPr>
        <w:t>γ</w:t>
      </w:r>
      <w:r>
        <w:rPr>
          <w:rFonts w:ascii="Times New Roman" w:hAnsi="Times New Roman" w:cs="Times New Roman"/>
          <w:sz w:val="24"/>
          <w:szCs w:val="24"/>
          <w:lang w:val="en-US"/>
        </w:rPr>
        <w:t>.</w:t>
      </w:r>
    </w:p>
    <w:p w:rsidR="00824C5D" w:rsidRDefault="00824C5D" w:rsidP="00824C5D">
      <w:pPr>
        <w:spacing w:line="360" w:lineRule="auto"/>
        <w:ind w:right="-1" w:firstLine="851"/>
        <w:jc w:val="both"/>
        <w:rPr>
          <w:rFonts w:ascii="Times New Roman" w:hAnsi="Times New Roman" w:cs="Times New Roman"/>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p>
    <w:p w:rsidR="00824C5D" w:rsidRPr="006578C4" w:rsidRDefault="00824C5D" w:rsidP="00824C5D">
      <w:pPr>
        <w:spacing w:line="360" w:lineRule="auto"/>
        <w:ind w:right="-1" w:firstLine="851"/>
        <w:jc w:val="both"/>
        <w:rPr>
          <w:rFonts w:ascii="Times New Roman" w:hAnsi="Times New Roman" w:cs="Times New Roman"/>
          <w:vanish/>
          <w:sz w:val="24"/>
          <w:szCs w:val="24"/>
          <w:lang w:val="en-US"/>
        </w:rPr>
      </w:pPr>
    </w:p>
    <w:p w:rsidR="00824C5D" w:rsidRDefault="00824C5D" w:rsidP="00824C5D">
      <w:pPr>
        <w:spacing w:before="40" w:after="40"/>
        <w:ind w:left="851" w:right="-1"/>
        <w:jc w:val="center"/>
        <w:rPr>
          <w:rFonts w:ascii="Times New Roman" w:hAnsi="Times New Roman" w:cs="Times New Roman"/>
          <w:b/>
          <w:sz w:val="24"/>
          <w:szCs w:val="24"/>
          <w:lang w:val="en-US"/>
        </w:rPr>
      </w:pPr>
    </w:p>
    <w:p w:rsidR="00824C5D" w:rsidRPr="00F56BBC" w:rsidRDefault="00824C5D" w:rsidP="00824C5D">
      <w:pPr>
        <w:spacing w:before="40" w:after="40"/>
        <w:ind w:left="851" w:right="-1"/>
        <w:jc w:val="center"/>
        <w:rPr>
          <w:rFonts w:ascii="Times New Roman" w:hAnsi="Times New Roman" w:cs="Times New Roman"/>
          <w:sz w:val="24"/>
          <w:szCs w:val="24"/>
          <w:lang w:val="en-US"/>
        </w:rPr>
      </w:pPr>
      <w:r w:rsidRPr="00F56BBC">
        <w:rPr>
          <w:rFonts w:ascii="Times New Roman" w:hAnsi="Times New Roman" w:cs="Times New Roman"/>
          <w:b/>
          <w:sz w:val="24"/>
          <w:szCs w:val="24"/>
          <w:lang w:val="en-US"/>
        </w:rPr>
        <w:t xml:space="preserve">Figure 2: </w:t>
      </w:r>
      <w:r w:rsidRPr="00F56BBC">
        <w:rPr>
          <w:rFonts w:ascii="Times New Roman" w:hAnsi="Times New Roman" w:cs="Times New Roman"/>
          <w:sz w:val="24"/>
          <w:szCs w:val="24"/>
          <w:lang w:val="en-US"/>
        </w:rPr>
        <w:t>Normalization Process</w:t>
      </w: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Pr="00F56BBC" w:rsidRDefault="00D7356D" w:rsidP="00824C5D">
      <w:pPr>
        <w:spacing w:before="40" w:after="40"/>
        <w:ind w:left="851" w:right="-1" w:firstLine="708"/>
        <w:jc w:val="both"/>
        <w:rPr>
          <w:rFonts w:ascii="Times New Roman" w:hAnsi="Times New Roman" w:cs="Times New Roman"/>
          <w:sz w:val="24"/>
          <w:szCs w:val="24"/>
          <w:lang w:val="en-US"/>
        </w:rPr>
      </w:pPr>
      <w:r>
        <w:rPr>
          <w:rFonts w:ascii="Times New Roman" w:hAnsi="Times New Roman" w:cs="Times New Roman"/>
          <w:noProof/>
          <w:sz w:val="24"/>
          <w:szCs w:val="24"/>
          <w:lang w:val="en-US" w:eastAsia="ja-JP"/>
        </w:rPr>
        <w:pict>
          <v:shapetype id="_x0000_t32" coordsize="21600,21600" o:spt="32" o:oned="t" path="m,l21600,21600e" filled="f">
            <v:path arrowok="t" fillok="f" o:connecttype="none"/>
            <o:lock v:ext="edit" shapetype="t"/>
          </v:shapetype>
          <v:shape id="Conector de seta reta 2" o:spid="_x0000_s1027" type="#_x0000_t32" style="position:absolute;left:0;text-align:left;margin-left:217.15pt;margin-top:4pt;width:3.6pt;height:141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" strokecolor="windowText" strokeweight=".5pt">
            <v:stroke startarrow="block" endarrow="block" joinstyle="miter"/>
            <o:lock v:ext="edit" shapetype="f"/>
          </v:shape>
        </w:pict>
      </w:r>
      <w:r w:rsidR="00FA3EA9" w:rsidRPr="00902BCA">
        <w:rPr>
          <w:rFonts w:ascii="Times New Roman" w:hAnsi="Times New Roman" w:cs="Times New Roman"/>
          <w:sz w:val="24"/>
          <w:szCs w:val="24"/>
          <w:lang w:val="en-US"/>
        </w:rPr>
        <w:t xml:space="preserve">                                        </w:t>
      </w:r>
      <w:r w:rsidR="00824C5D" w:rsidRPr="003C6E7E">
        <w:rPr>
          <w:rFonts w:ascii="Times New Roman" w:hAnsi="Times New Roman" w:cs="Times New Roman"/>
          <w:sz w:val="24"/>
          <w:szCs w:val="24"/>
        </w:rPr>
        <w:t>γ</w:t>
      </w:r>
      <w:r w:rsidR="00824C5D" w:rsidRPr="00F56BBC">
        <w:rPr>
          <w:rFonts w:ascii="Times New Roman" w:hAnsi="Times New Roman" w:cs="Times New Roman"/>
          <w:sz w:val="24"/>
          <w:szCs w:val="24"/>
          <w:lang w:val="en-US"/>
        </w:rPr>
        <w:t>'</w:t>
      </w: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Pr="00F56BBC" w:rsidRDefault="00D7356D" w:rsidP="00824C5D">
      <w:pPr>
        <w:spacing w:before="40" w:after="40"/>
        <w:ind w:left="851" w:right="-1" w:firstLine="708"/>
        <w:jc w:val="both"/>
        <w:rPr>
          <w:rFonts w:ascii="Times New Roman" w:hAnsi="Times New Roman" w:cs="Times New Roman"/>
          <w:sz w:val="24"/>
          <w:szCs w:val="24"/>
          <w:lang w:val="en-US"/>
        </w:rPr>
      </w:pPr>
      <w:r>
        <w:rPr>
          <w:rFonts w:ascii="Times New Roman" w:hAnsi="Times New Roman" w:cs="Times New Roman"/>
          <w:noProof/>
          <w:sz w:val="24"/>
          <w:szCs w:val="24"/>
          <w:lang w:val="en-US" w:eastAsia="ja-JP"/>
        </w:rPr>
        <w:pict>
          <v:line id="Conector reto 6" o:spid="_x0000_s1030" style="position:absolute;left:0;text-align:left;z-index:251664384;visibility:visible;mso-wrap-distance-left:3.17497mm;mso-wrap-distance-right:3.17497mm;mso-width-relative:margin;mso-height-relative:margin" from="294.45pt,7.65pt" to="294.45pt,7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" strokecolor="windowText" strokeweight="1pt">
            <v:stroke dashstyle="3 1" joinstyle="miter"/>
            <o:lock v:ext="edit" shapetype="f"/>
          </v:line>
        </w:pict>
      </w:r>
      <w:r>
        <w:rPr>
          <w:rFonts w:ascii="Times New Roman" w:hAnsi="Times New Roman" w:cs="Times New Roman"/>
          <w:noProof/>
          <w:sz w:val="24"/>
          <w:szCs w:val="24"/>
          <w:lang w:val="en-US" w:eastAsia="ja-JP"/>
        </w:rPr>
        <w:pict>
          <v:line id="Conector reto 5" o:spid="_x0000_s1029" style="position:absolute;left:0;text-align:left;flip:x;z-index:251663360;visibility:visible;mso-width-relative:margin;mso-height-relative:margin" from="217.95pt,7.65pt" to="294.45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" strokecolor="windowText" strokeweight="1pt">
            <v:stroke dashstyle="3 1" joinstyle="miter"/>
            <o:lock v:ext="edit" shapetype="f"/>
          </v:line>
        </w:pict>
      </w:r>
      <w:r>
        <w:rPr>
          <w:rFonts w:ascii="Times New Roman" w:hAnsi="Times New Roman" w:cs="Times New Roman"/>
          <w:noProof/>
          <w:sz w:val="24"/>
          <w:szCs w:val="24"/>
          <w:lang w:val="en-US" w:eastAsia="ja-JP"/>
        </w:rPr>
        <w:pict>
          <v:line id="Conector reto 7" o:spid="_x0000_s1028" style="position:absolute;left:0;text-align:left;flip:y;z-index:251662336;visibility:visible;mso-width-relative:margin;mso-height-relative:margin" from="128.7pt,7.65pt" to="295.2pt,7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" strokecolor="windowText" strokeweight="1pt">
            <v:stroke joinstyle="miter"/>
            <o:lock v:ext="edit" shapetype="f"/>
          </v:line>
        </w:pict>
      </w:r>
      <w:r w:rsidR="00FA3EA9" w:rsidRPr="00902BCA">
        <w:rPr>
          <w:rFonts w:ascii="Times New Roman" w:hAnsi="Times New Roman" w:cs="Times New Roman"/>
          <w:sz w:val="24"/>
          <w:szCs w:val="24"/>
          <w:lang w:val="en-US"/>
        </w:rPr>
        <w:t xml:space="preserve">                                        </w:t>
      </w:r>
      <w:r w:rsidR="00824C5D" w:rsidRPr="003C6E7E">
        <w:rPr>
          <w:rFonts w:ascii="Times New Roman" w:hAnsi="Times New Roman" w:cs="Times New Roman"/>
          <w:sz w:val="24"/>
          <w:szCs w:val="24"/>
        </w:rPr>
        <w:t>β</w:t>
      </w: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Pr="00F56BBC" w:rsidRDefault="00D7356D" w:rsidP="00824C5D">
      <w:pPr>
        <w:spacing w:before="40" w:after="40"/>
        <w:ind w:left="851" w:right="-1" w:firstLine="708"/>
        <w:jc w:val="both"/>
        <w:rPr>
          <w:rFonts w:ascii="Times New Roman" w:hAnsi="Times New Roman" w:cs="Times New Roman"/>
          <w:sz w:val="24"/>
          <w:szCs w:val="24"/>
          <w:lang w:val="en-US"/>
        </w:rPr>
      </w:pPr>
      <w:r>
        <w:rPr>
          <w:rFonts w:ascii="Times New Roman" w:hAnsi="Times New Roman" w:cs="Times New Roman"/>
          <w:noProof/>
          <w:sz w:val="24"/>
          <w:szCs w:val="24"/>
          <w:lang w:val="en-US" w:eastAsia="ja-JP"/>
        </w:rPr>
        <w:pict>
          <v:shape id="Conector de seta reta 8" o:spid="_x0000_s1026" type="#_x0000_t32" style="position:absolute;left:0;text-align:left;margin-left:85.9pt;margin-top:6.7pt;width:282.75pt;height:1.5pt;flip:y;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" strokecolor="windowText" strokeweight=".5pt">
            <v:stroke startarrow="block" endarrow="block" joinstyle="miter"/>
            <o:lock v:ext="edit" shapetype="f"/>
          </v:shape>
        </w:pict>
      </w: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r w:rsidRPr="00F56BBC">
        <w:rPr>
          <w:rFonts w:ascii="Times New Roman" w:hAnsi="Times New Roman" w:cs="Times New Roman"/>
          <w:sz w:val="24"/>
          <w:szCs w:val="24"/>
          <w:lang w:val="en-US"/>
        </w:rPr>
        <w:t xml:space="preserve">               -1                                                     1                      </w:t>
      </w:r>
      <w:r w:rsidRPr="003C6E7E">
        <w:rPr>
          <w:rFonts w:ascii="Times New Roman" w:hAnsi="Times New Roman" w:cs="Times New Roman"/>
          <w:sz w:val="24"/>
          <w:szCs w:val="24"/>
        </w:rPr>
        <w:t>γ</w:t>
      </w:r>
    </w:p>
    <w:p w:rsidR="00824C5D" w:rsidRPr="00F56BBC" w:rsidRDefault="00824C5D" w:rsidP="00824C5D">
      <w:pPr>
        <w:spacing w:before="40" w:after="40"/>
        <w:ind w:left="851" w:right="-1" w:firstLine="708"/>
        <w:jc w:val="both"/>
        <w:rPr>
          <w:rFonts w:ascii="Times New Roman" w:hAnsi="Times New Roman" w:cs="Times New Roman"/>
          <w:sz w:val="24"/>
          <w:szCs w:val="24"/>
          <w:lang w:val="en-US"/>
        </w:rPr>
      </w:pPr>
    </w:p>
    <w:p w:rsidR="00824C5D" w:rsidRDefault="00824C5D" w:rsidP="00824C5D">
      <w:pPr>
        <w:spacing w:before="40" w:after="40"/>
        <w:ind w:right="-1"/>
        <w:jc w:val="both"/>
        <w:rPr>
          <w:rFonts w:ascii="Times New Roman" w:hAnsi="Times New Roman" w:cs="Times New Roman"/>
          <w:lang w:val="en-US"/>
        </w:rPr>
      </w:pPr>
      <w:r w:rsidRPr="00F56BBC">
        <w:rPr>
          <w:rFonts w:ascii="Times New Roman" w:hAnsi="Times New Roman" w:cs="Times New Roman"/>
          <w:lang w:val="en-US"/>
        </w:rPr>
        <w:t>Source</w:t>
      </w:r>
      <w:r>
        <w:rPr>
          <w:rFonts w:ascii="Times New Roman" w:hAnsi="Times New Roman" w:cs="Times New Roman"/>
          <w:lang w:val="en-US"/>
        </w:rPr>
        <w:t>: elaborated by the authors</w:t>
      </w:r>
      <w:r w:rsidRPr="00F56BBC">
        <w:rPr>
          <w:rFonts w:ascii="Times New Roman" w:hAnsi="Times New Roman" w:cs="Times New Roman"/>
          <w:lang w:val="en-US"/>
        </w:rPr>
        <w:t>.</w:t>
      </w:r>
    </w:p>
    <w:p w:rsidR="00824C5D" w:rsidRPr="006578C4" w:rsidRDefault="00824C5D" w:rsidP="00824C5D">
      <w:pPr>
        <w:spacing w:before="40" w:after="40"/>
        <w:ind w:right="-1"/>
        <w:jc w:val="both"/>
        <w:rPr>
          <w:rFonts w:ascii="Times New Roman" w:hAnsi="Times New Roman" w:cs="Times New Roman"/>
          <w:lang w:val="en-US"/>
        </w:rPr>
      </w:pPr>
    </w:p>
    <w:p w:rsidR="00824C5D" w:rsidRPr="003B1FFC" w:rsidRDefault="00824C5D" w:rsidP="00824C5D">
      <w:pPr>
        <w:spacing w:line="360" w:lineRule="auto"/>
        <w:ind w:right="-1" w:firstLine="708"/>
        <w:rPr>
          <w:rFonts w:ascii="Times New Roman" w:hAnsi="Times New Roman" w:cs="Times New Roman"/>
          <w:sz w:val="24"/>
          <w:szCs w:val="24"/>
          <w:lang w:val="en-US"/>
        </w:rPr>
      </w:pPr>
      <w:r w:rsidRPr="003B1FFC">
        <w:rPr>
          <w:rFonts w:ascii="Times New Roman" w:hAnsi="Times New Roman" w:cs="Times New Roman"/>
          <w:sz w:val="24"/>
          <w:szCs w:val="24"/>
          <w:lang w:val="en-US"/>
        </w:rPr>
        <w:t>Thus, the equation of the straight line to the income per capita is:</w:t>
      </w:r>
    </w:p>
    <w:p w:rsidR="00824C5D" w:rsidRDefault="00824C5D" w:rsidP="00824C5D">
      <w:pPr>
        <w:ind w:right="-1"/>
        <w:rPr>
          <w:rFonts w:ascii="Times New Roman" w:hAnsi="Times New Roman" w:cs="Times New Roman"/>
          <w:sz w:val="24"/>
          <w:szCs w:val="24"/>
          <w:lang w:val="en-US"/>
        </w:rPr>
      </w:pPr>
    </w:p>
    <w:tbl>
      <w:tblPr>
        <w:tblW w:w="8522" w:type="dxa"/>
        <w:tblLook w:val="04A0" w:firstRow="1" w:lastRow="0" w:firstColumn="1" w:lastColumn="0" w:noHBand="0" w:noVBand="1"/>
      </w:tblPr>
      <w:tblGrid>
        <w:gridCol w:w="567"/>
        <w:gridCol w:w="7388"/>
        <w:gridCol w:w="567"/>
      </w:tblGrid>
      <w:tr w:rsidR="00824C5D" w:rsidRPr="003C6E7E" w:rsidTr="00582A1A">
        <w:trPr>
          <w:trHeight w:val="324"/>
        </w:trPr>
        <w:tc>
          <w:tcPr>
            <w:tcW w:w="567" w:type="dxa"/>
          </w:tcPr>
          <w:p w:rsidR="00824C5D" w:rsidRPr="007414BE" w:rsidRDefault="00824C5D" w:rsidP="00582A1A">
            <w:pPr>
              <w:spacing w:line="360" w:lineRule="auto"/>
              <w:ind w:right="-1"/>
              <w:jc w:val="both"/>
              <w:rPr>
                <w:lang w:val="en-US"/>
              </w:rPr>
            </w:pPr>
          </w:p>
        </w:tc>
        <w:tc>
          <w:tcPr>
            <w:tcW w:w="7388" w:type="dxa"/>
          </w:tcPr>
          <w:p w:rsidR="00824C5D" w:rsidRPr="003C6E7E" w:rsidRDefault="00824C5D" w:rsidP="00582A1A">
            <w:pPr>
              <w:spacing w:line="360" w:lineRule="auto"/>
              <w:ind w:right="-1"/>
              <w:jc w:val="both"/>
            </w:pPr>
            <m:oMathPara>
              <m:oMathParaPr>
                <m:jc m:val="center"/>
              </m:oMathParaPr>
              <m:oMath>
                <m:r>
                  <m:rPr>
                    <m:sty m:val="p"/>
                  </m:rPr>
                  <w:rPr>
                    <w:rFonts w:ascii="Cambria Math" w:hAnsi="Cambria Math" w:cs="Times New Roman"/>
                    <w:sz w:val="24"/>
                    <w:szCs w:val="24"/>
                  </w:rPr>
                  <m:t xml:space="preserve">γ` </m:t>
                </m:r>
                <m:r>
                  <w:rPr>
                    <w:rFonts w:ascii="Cambria Math" w:hAnsi="Cambria Math"/>
                  </w:rPr>
                  <m:t>=</m:t>
                </m:r>
                <m:f>
                  <m:fPr>
                    <m:ctrlPr>
                      <w:rPr>
                        <w:rFonts w:ascii="Cambria Math" w:eastAsia="MS Gothic" w:hAnsi="Cambria Math" w:cs="Times New Roman"/>
                        <w:sz w:val="24"/>
                        <w:szCs w:val="24"/>
                      </w:rPr>
                    </m:ctrlPr>
                  </m:fPr>
                  <m:num>
                    <m:r>
                      <w:rPr>
                        <w:rFonts w:ascii="Cambria Math" w:eastAsia="MS Gothic" w:hAnsi="Cambria Math" w:cs="Times New Roman"/>
                        <w:sz w:val="24"/>
                        <w:szCs w:val="24"/>
                      </w:rPr>
                      <m:t>β(γ+1)</m:t>
                    </m:r>
                  </m:num>
                  <m:den>
                    <m:r>
                      <w:rPr>
                        <w:rFonts w:ascii="Cambria Math" w:eastAsia="MS Gothic" w:hAnsi="Cambria Math" w:cs="Times New Roman"/>
                        <w:sz w:val="24"/>
                        <w:szCs w:val="24"/>
                      </w:rPr>
                      <m:t>2</m:t>
                    </m:r>
                  </m:den>
                </m:f>
              </m:oMath>
            </m:oMathPara>
          </w:p>
        </w:tc>
        <w:tc>
          <w:tcPr>
            <w:tcW w:w="567" w:type="dxa"/>
          </w:tcPr>
          <w:p w:rsidR="00824C5D" w:rsidRPr="007414BE" w:rsidRDefault="00824C5D" w:rsidP="00582A1A">
            <w:pPr>
              <w:spacing w:line="360" w:lineRule="auto"/>
              <w:ind w:right="-1"/>
              <w:jc w:val="both"/>
              <w:rPr>
                <w:rFonts w:ascii="Times New Roman" w:hAnsi="Times New Roman" w:cs="Times New Roman"/>
                <w:sz w:val="24"/>
                <w:szCs w:val="24"/>
              </w:rPr>
            </w:pPr>
            <w:r w:rsidRPr="007414BE">
              <w:rPr>
                <w:rFonts w:ascii="Times New Roman" w:hAnsi="Times New Roman" w:cs="Times New Roman"/>
                <w:sz w:val="24"/>
                <w:szCs w:val="24"/>
              </w:rPr>
              <w:t>(7)</w:t>
            </w:r>
          </w:p>
        </w:tc>
      </w:tr>
    </w:tbl>
    <w:p w:rsidR="00824C5D" w:rsidRDefault="00824C5D" w:rsidP="00824C5D">
      <w:pPr>
        <w:spacing w:line="360" w:lineRule="auto"/>
        <w:ind w:right="-1" w:firstLine="708"/>
        <w:rPr>
          <w:rFonts w:ascii="Times New Roman" w:hAnsi="Times New Roman" w:cs="Times New Roman"/>
          <w:sz w:val="24"/>
          <w:szCs w:val="24"/>
          <w:lang w:val="en-US"/>
        </w:rPr>
      </w:pPr>
    </w:p>
    <w:p w:rsidR="00824C5D" w:rsidRDefault="00824C5D" w:rsidP="00824C5D">
      <w:pPr>
        <w:spacing w:line="360" w:lineRule="auto"/>
        <w:ind w:right="-1" w:firstLine="708"/>
        <w:rPr>
          <w:rFonts w:ascii="Times New Roman" w:hAnsi="Times New Roman" w:cs="Times New Roman"/>
          <w:sz w:val="24"/>
          <w:szCs w:val="24"/>
          <w:lang w:val="en-US"/>
        </w:rPr>
      </w:pPr>
      <w:r w:rsidRPr="00AF19D2">
        <w:rPr>
          <w:rFonts w:ascii="Times New Roman" w:hAnsi="Times New Roman" w:cs="Times New Roman"/>
          <w:sz w:val="24"/>
          <w:szCs w:val="24"/>
          <w:lang w:val="en-US"/>
        </w:rPr>
        <w:t xml:space="preserve">By the same process, </w:t>
      </w:r>
      <w:r>
        <w:rPr>
          <w:rFonts w:ascii="Times New Roman" w:hAnsi="Times New Roman" w:cs="Times New Roman"/>
          <w:sz w:val="24"/>
          <w:szCs w:val="24"/>
          <w:lang w:val="en-US"/>
        </w:rPr>
        <w:t xml:space="preserve">the other variables </w:t>
      </w:r>
      <w:r w:rsidRPr="00AF19D2">
        <w:rPr>
          <w:rFonts w:ascii="Times New Roman" w:hAnsi="Times New Roman" w:cs="Times New Roman"/>
          <w:sz w:val="24"/>
          <w:szCs w:val="24"/>
          <w:lang w:val="en-US"/>
        </w:rPr>
        <w:t>are o</w:t>
      </w:r>
      <w:r>
        <w:rPr>
          <w:rFonts w:ascii="Times New Roman" w:hAnsi="Times New Roman" w:cs="Times New Roman"/>
          <w:sz w:val="24"/>
          <w:szCs w:val="24"/>
          <w:lang w:val="en-US"/>
        </w:rPr>
        <w:t>btained: </w:t>
      </w:r>
    </w:p>
    <w:p w:rsidR="00824C5D" w:rsidRDefault="00824C5D" w:rsidP="00824C5D">
      <w:pPr>
        <w:ind w:right="-1" w:firstLine="709"/>
        <w:rPr>
          <w:rFonts w:ascii="Times New Roman" w:hAnsi="Times New Roman" w:cs="Times New Roman"/>
          <w:sz w:val="24"/>
          <w:szCs w:val="24"/>
          <w:lang w:val="en-US"/>
        </w:rPr>
      </w:pPr>
    </w:p>
    <w:tbl>
      <w:tblPr>
        <w:tblW w:w="8522" w:type="dxa"/>
        <w:tblLook w:val="04A0" w:firstRow="1" w:lastRow="0" w:firstColumn="1" w:lastColumn="0" w:noHBand="0" w:noVBand="1"/>
      </w:tblPr>
      <w:tblGrid>
        <w:gridCol w:w="567"/>
        <w:gridCol w:w="7388"/>
        <w:gridCol w:w="567"/>
      </w:tblGrid>
      <w:tr w:rsidR="00824C5D" w:rsidRPr="003C6E7E" w:rsidTr="00582A1A">
        <w:trPr>
          <w:trHeight w:val="324"/>
        </w:trPr>
        <w:tc>
          <w:tcPr>
            <w:tcW w:w="567" w:type="dxa"/>
          </w:tcPr>
          <w:p w:rsidR="00824C5D" w:rsidRPr="007414BE" w:rsidRDefault="00824C5D" w:rsidP="00582A1A">
            <w:pPr>
              <w:spacing w:line="360" w:lineRule="auto"/>
              <w:ind w:right="-1"/>
              <w:jc w:val="both"/>
              <w:rPr>
                <w:lang w:val="en-US"/>
              </w:rPr>
            </w:pPr>
          </w:p>
        </w:tc>
        <w:tc>
          <w:tcPr>
            <w:tcW w:w="7388" w:type="dxa"/>
          </w:tcPr>
          <w:p w:rsidR="00824C5D" w:rsidRPr="003C6E7E" w:rsidRDefault="00824C5D" w:rsidP="00582A1A">
            <w:pPr>
              <w:spacing w:line="360" w:lineRule="auto"/>
              <w:ind w:right="-1"/>
              <w:jc w:val="both"/>
            </w:pPr>
            <m:oMathPara>
              <m:oMathParaPr>
                <m:jc m:val="center"/>
              </m:oMathParaPr>
              <m:oMath>
                <m:r>
                  <m:rPr>
                    <m:sty m:val="p"/>
                  </m:rPr>
                  <w:rPr>
                    <w:rFonts w:ascii="Cambria Math" w:hAnsi="Cambria Math" w:cs="Times New Roman"/>
                    <w:sz w:val="24"/>
                    <w:szCs w:val="24"/>
                  </w:rPr>
                  <m:t>τ`</m:t>
                </m:r>
                <m:r>
                  <w:rPr>
                    <w:rFonts w:ascii="Cambria Math" w:hAnsi="Cambria Math"/>
                  </w:rPr>
                  <m:t>=</m:t>
                </m:r>
                <m:f>
                  <m:fPr>
                    <m:ctrlPr>
                      <w:rPr>
                        <w:rFonts w:ascii="Cambria Math" w:eastAsia="MS Gothic" w:hAnsi="Cambria Math" w:cs="Times New Roman"/>
                        <w:sz w:val="24"/>
                        <w:szCs w:val="24"/>
                      </w:rPr>
                    </m:ctrlPr>
                  </m:fPr>
                  <m:num>
                    <m:r>
                      <w:rPr>
                        <w:rFonts w:ascii="Cambria Math" w:eastAsia="MS Gothic" w:hAnsi="Cambria Math" w:cs="Times New Roman"/>
                        <w:sz w:val="24"/>
                        <w:szCs w:val="24"/>
                      </w:rPr>
                      <m:t>β (1-τ)</m:t>
                    </m:r>
                  </m:num>
                  <m:den>
                    <m:r>
                      <w:rPr>
                        <w:rFonts w:ascii="Cambria Math" w:eastAsia="MS Gothic" w:hAnsi="Cambria Math" w:cs="Times New Roman"/>
                        <w:sz w:val="24"/>
                        <w:szCs w:val="24"/>
                      </w:rPr>
                      <m:t>2</m:t>
                    </m:r>
                  </m:den>
                </m:f>
              </m:oMath>
            </m:oMathPara>
          </w:p>
        </w:tc>
        <w:tc>
          <w:tcPr>
            <w:tcW w:w="567" w:type="dxa"/>
          </w:tcPr>
          <w:p w:rsidR="00824C5D" w:rsidRPr="007414BE" w:rsidRDefault="00824C5D" w:rsidP="00582A1A">
            <w:pPr>
              <w:spacing w:line="360" w:lineRule="auto"/>
              <w:ind w:right="-1"/>
              <w:jc w:val="both"/>
              <w:rPr>
                <w:rFonts w:ascii="Times New Roman" w:hAnsi="Times New Roman" w:cs="Times New Roman"/>
                <w:sz w:val="24"/>
                <w:szCs w:val="24"/>
              </w:rPr>
            </w:pPr>
            <w:r w:rsidRPr="007414BE">
              <w:rPr>
                <w:rFonts w:ascii="Times New Roman" w:hAnsi="Times New Roman" w:cs="Times New Roman"/>
                <w:sz w:val="24"/>
                <w:szCs w:val="24"/>
              </w:rPr>
              <w:t>(8)</w:t>
            </w:r>
          </w:p>
        </w:tc>
      </w:tr>
    </w:tbl>
    <w:p w:rsidR="00824C5D" w:rsidRPr="003B1FFC" w:rsidRDefault="00824C5D" w:rsidP="00824C5D">
      <w:pPr>
        <w:ind w:right="-1"/>
        <w:rPr>
          <w:rFonts w:ascii="Times New Roman" w:hAnsi="Times New Roman" w:cs="Times New Roman"/>
          <w:sz w:val="24"/>
          <w:szCs w:val="24"/>
          <w:lang w:val="en-US"/>
        </w:rPr>
      </w:pPr>
    </w:p>
    <w:tbl>
      <w:tblPr>
        <w:tblW w:w="8522" w:type="dxa"/>
        <w:tblLook w:val="04A0" w:firstRow="1" w:lastRow="0" w:firstColumn="1" w:lastColumn="0" w:noHBand="0" w:noVBand="1"/>
      </w:tblPr>
      <w:tblGrid>
        <w:gridCol w:w="567"/>
        <w:gridCol w:w="7388"/>
        <w:gridCol w:w="567"/>
      </w:tblGrid>
      <w:tr w:rsidR="00824C5D" w:rsidRPr="00AF19D2" w:rsidTr="00582A1A">
        <w:trPr>
          <w:trHeight w:val="324"/>
        </w:trPr>
        <w:tc>
          <w:tcPr>
            <w:tcW w:w="567" w:type="dxa"/>
          </w:tcPr>
          <w:p w:rsidR="00824C5D" w:rsidRPr="007414BE" w:rsidRDefault="00824C5D" w:rsidP="00582A1A">
            <w:pPr>
              <w:spacing w:line="360" w:lineRule="auto"/>
              <w:ind w:right="-1"/>
              <w:rPr>
                <w:rFonts w:ascii="Times New Roman" w:hAnsi="Times New Roman" w:cs="Times New Roman"/>
                <w:sz w:val="24"/>
                <w:szCs w:val="24"/>
              </w:rPr>
            </w:pPr>
          </w:p>
        </w:tc>
        <w:tc>
          <w:tcPr>
            <w:tcW w:w="7388" w:type="dxa"/>
          </w:tcPr>
          <w:p w:rsidR="00824C5D" w:rsidRPr="007414BE" w:rsidRDefault="00824C5D" w:rsidP="00582A1A">
            <w:pPr>
              <w:ind w:right="-1"/>
              <w:rPr>
                <w:rFonts w:ascii="Times New Roman" w:hAnsi="Times New Roman" w:cs="Times New Roman"/>
                <w:sz w:val="24"/>
                <w:szCs w:val="24"/>
              </w:rPr>
            </w:pPr>
            <m:oMathPara>
              <m:oMathParaPr>
                <m:jc m:val="center"/>
              </m:oMathParaPr>
              <m:oMath>
                <m:r>
                  <w:rPr>
                    <w:rFonts w:ascii="Cambria Math" w:hAnsi="Cambria Math" w:cs="Times New Roman"/>
                    <w:sz w:val="24"/>
                    <w:szCs w:val="24"/>
                  </w:rPr>
                  <m:t>φ</m:t>
                </m:r>
                <m:r>
                  <m:rPr>
                    <m:sty m:val="p"/>
                  </m:rPr>
                  <w:rPr>
                    <w:rFonts w:ascii="Cambria Math" w:hAnsi="Cambria Math" w:cs="Times New Roman"/>
                    <w:sz w:val="24"/>
                    <w:szCs w:val="24"/>
                  </w:rPr>
                  <m:t xml:space="preserve">` </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β (φ+1)</m:t>
                    </m:r>
                  </m:num>
                  <m:den>
                    <m:r>
                      <w:rPr>
                        <w:rFonts w:ascii="Cambria Math" w:hAnsi="Cambria Math" w:cs="Times New Roman"/>
                        <w:sz w:val="24"/>
                        <w:szCs w:val="24"/>
                      </w:rPr>
                      <m:t>2</m:t>
                    </m:r>
                  </m:den>
                </m:f>
              </m:oMath>
            </m:oMathPara>
          </w:p>
        </w:tc>
        <w:tc>
          <w:tcPr>
            <w:tcW w:w="567" w:type="dxa"/>
          </w:tcPr>
          <w:p w:rsidR="00824C5D" w:rsidRPr="007414BE" w:rsidRDefault="00824C5D" w:rsidP="00582A1A">
            <w:pPr>
              <w:spacing w:line="360" w:lineRule="auto"/>
              <w:ind w:right="-1"/>
              <w:rPr>
                <w:rFonts w:ascii="Times New Roman" w:hAnsi="Times New Roman" w:cs="Times New Roman"/>
                <w:sz w:val="24"/>
                <w:szCs w:val="24"/>
              </w:rPr>
            </w:pPr>
            <w:r w:rsidRPr="007414BE">
              <w:rPr>
                <w:rFonts w:ascii="Times New Roman" w:hAnsi="Times New Roman" w:cs="Times New Roman"/>
                <w:sz w:val="24"/>
                <w:szCs w:val="24"/>
              </w:rPr>
              <w:t>(9)</w:t>
            </w:r>
          </w:p>
          <w:p w:rsidR="00824C5D" w:rsidRPr="007414BE" w:rsidRDefault="00824C5D" w:rsidP="00582A1A">
            <w:pPr>
              <w:spacing w:line="360" w:lineRule="auto"/>
              <w:ind w:right="-1"/>
              <w:rPr>
                <w:rFonts w:ascii="Times New Roman" w:hAnsi="Times New Roman" w:cs="Times New Roman"/>
                <w:sz w:val="24"/>
                <w:szCs w:val="24"/>
              </w:rPr>
            </w:pPr>
          </w:p>
        </w:tc>
      </w:tr>
    </w:tbl>
    <w:p w:rsidR="00824C5D" w:rsidRDefault="00824C5D" w:rsidP="00824C5D">
      <w:pPr>
        <w:ind w:right="-1" w:firstLine="851"/>
        <w:jc w:val="both"/>
        <w:rPr>
          <w:rFonts w:ascii="Times New Roman" w:hAnsi="Times New Roman" w:cs="Times New Roman"/>
          <w:sz w:val="24"/>
          <w:szCs w:val="24"/>
          <w:lang w:val="en-US"/>
        </w:rPr>
      </w:pPr>
    </w:p>
    <w:p w:rsidR="00824C5D" w:rsidRDefault="00824C5D" w:rsidP="00824C5D">
      <w:pPr>
        <w:spacing w:line="360" w:lineRule="auto"/>
        <w:ind w:right="-1" w:firstLine="851"/>
        <w:jc w:val="both"/>
        <w:rPr>
          <w:rFonts w:ascii="Times New Roman" w:hAnsi="Times New Roman" w:cs="Times New Roman"/>
          <w:sz w:val="24"/>
          <w:szCs w:val="24"/>
          <w:lang w:val="en-US"/>
        </w:rPr>
      </w:pPr>
      <w:r w:rsidRPr="00AF19D2">
        <w:rPr>
          <w:rFonts w:ascii="Times New Roman" w:hAnsi="Times New Roman" w:cs="Times New Roman"/>
          <w:sz w:val="24"/>
          <w:szCs w:val="24"/>
          <w:lang w:val="en-US"/>
        </w:rPr>
        <w:t xml:space="preserve">Thus, it is possible to measure the </w:t>
      </w:r>
      <w:r>
        <w:rPr>
          <w:rFonts w:ascii="Times New Roman" w:hAnsi="Times New Roman" w:cs="Times New Roman"/>
          <w:sz w:val="24"/>
          <w:szCs w:val="24"/>
          <w:lang w:val="en-US"/>
        </w:rPr>
        <w:t>area of the Magic Triangle, as can be seen in the Figure 3</w:t>
      </w:r>
      <w:r w:rsidRPr="00AF19D2">
        <w:rPr>
          <w:rFonts w:ascii="Times New Roman" w:hAnsi="Times New Roman" w:cs="Times New Roman"/>
          <w:sz w:val="24"/>
          <w:szCs w:val="24"/>
          <w:lang w:val="en-US"/>
        </w:rPr>
        <w:t>.</w:t>
      </w:r>
    </w:p>
    <w:p w:rsidR="00824C5D" w:rsidRPr="00331063" w:rsidRDefault="00824C5D" w:rsidP="00824C5D">
      <w:pPr>
        <w:ind w:right="-1"/>
        <w:contextualSpacing/>
        <w:jc w:val="both"/>
        <w:rPr>
          <w:rFonts w:ascii="Times New Roman" w:hAnsi="Times New Roman" w:cs="Times New Roman"/>
          <w:sz w:val="24"/>
          <w:szCs w:val="24"/>
          <w:lang w:val="en-US"/>
        </w:rPr>
      </w:pPr>
    </w:p>
    <w:p w:rsidR="00824C5D" w:rsidRPr="00CB39EC" w:rsidRDefault="00824C5D" w:rsidP="00824C5D">
      <w:pPr>
        <w:spacing w:line="360" w:lineRule="auto"/>
        <w:ind w:right="-1"/>
        <w:jc w:val="center"/>
        <w:rPr>
          <w:rFonts w:ascii="Times New Roman" w:hAnsi="Times New Roman" w:cs="Times New Roman"/>
          <w:sz w:val="24"/>
          <w:szCs w:val="24"/>
          <w:lang w:val="en-US"/>
        </w:rPr>
      </w:pPr>
      <w:r w:rsidRPr="00CB39EC">
        <w:rPr>
          <w:rFonts w:ascii="Times New Roman" w:hAnsi="Times New Roman" w:cs="Times New Roman"/>
          <w:b/>
          <w:sz w:val="24"/>
          <w:szCs w:val="24"/>
          <w:lang w:val="en-US"/>
        </w:rPr>
        <w:t>Figure</w:t>
      </w:r>
      <w:r>
        <w:rPr>
          <w:rFonts w:ascii="Times New Roman" w:hAnsi="Times New Roman" w:cs="Times New Roman"/>
          <w:b/>
          <w:sz w:val="24"/>
          <w:szCs w:val="24"/>
          <w:lang w:val="en-US"/>
        </w:rPr>
        <w:t xml:space="preserve"> 3</w:t>
      </w:r>
      <w:r w:rsidRPr="00CB39EC">
        <w:rPr>
          <w:rFonts w:ascii="Times New Roman" w:hAnsi="Times New Roman" w:cs="Times New Roman"/>
          <w:b/>
          <w:sz w:val="24"/>
          <w:szCs w:val="24"/>
          <w:lang w:val="en-US"/>
        </w:rPr>
        <w:t xml:space="preserve">: </w:t>
      </w:r>
      <w:r w:rsidRPr="00CB39EC">
        <w:rPr>
          <w:rFonts w:ascii="Times New Roman" w:hAnsi="Times New Roman" w:cs="Times New Roman"/>
          <w:sz w:val="24"/>
          <w:szCs w:val="24"/>
          <w:lang w:val="en-US"/>
        </w:rPr>
        <w:t>Magic Triangle’s Area</w:t>
      </w:r>
    </w:p>
    <w:p w:rsidR="00824C5D" w:rsidRPr="00CB39EC" w:rsidRDefault="00D7356D" w:rsidP="00824C5D">
      <w:pPr>
        <w:spacing w:line="360" w:lineRule="auto"/>
        <w:ind w:right="-1"/>
        <w:jc w:val="both"/>
        <w:rPr>
          <w:sz w:val="22"/>
          <w:szCs w:val="22"/>
          <w:lang w:val="en-US"/>
        </w:rPr>
      </w:pPr>
      <w:r>
        <w:rPr>
          <w:noProof/>
          <w:sz w:val="22"/>
          <w:szCs w:val="22"/>
          <w:lang w:val="en-US" w:eastAsia="ja-JP"/>
        </w:rPr>
        <w:pict>
          <v:shape id="Conector de seta reta 19" o:spid="_x0000_s1031" type="#_x0000_t32" style="position:absolute;left:0;text-align:left;margin-left:208.2pt;margin-top:6.05pt;width:3.75pt;height:125.25pt;flip:x y;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" strokecolor="windowText" strokeweight=".5pt">
            <v:stroke endarrow="block" joinstyle="miter"/>
            <o:lock v:ext="edit" shapetype="f"/>
          </v:shape>
        </w:pict>
      </w:r>
      <w:r w:rsidR="00FA3EA9" w:rsidRPr="00902BCA">
        <w:rPr>
          <w:sz w:val="22"/>
          <w:szCs w:val="22"/>
          <w:lang w:val="en-US"/>
        </w:rPr>
        <w:t xml:space="preserve">                                                                           </w:t>
      </w:r>
      <w:r w:rsidR="00582A1A" w:rsidRPr="00902BCA">
        <w:rPr>
          <w:sz w:val="22"/>
          <w:szCs w:val="22"/>
          <w:lang w:val="en-US"/>
        </w:rPr>
        <w:t xml:space="preserve">  </w:t>
      </w:r>
      <w:r w:rsidR="00FA3EA9" w:rsidRPr="00902BCA">
        <w:rPr>
          <w:sz w:val="22"/>
          <w:szCs w:val="22"/>
          <w:lang w:val="en-US"/>
        </w:rPr>
        <w:t xml:space="preserve"> </w:t>
      </w:r>
      <w:r w:rsidR="00824C5D" w:rsidRPr="003C6E7E">
        <w:rPr>
          <w:sz w:val="22"/>
          <w:szCs w:val="22"/>
        </w:rPr>
        <w:t>γ</w:t>
      </w:r>
      <w:r w:rsidR="00824C5D" w:rsidRPr="00CB39EC">
        <w:rPr>
          <w:sz w:val="22"/>
          <w:szCs w:val="22"/>
          <w:lang w:val="en-US"/>
        </w:rPr>
        <w:t>'</w:t>
      </w:r>
    </w:p>
    <w:p w:rsidR="00824C5D" w:rsidRPr="00CB39EC" w:rsidRDefault="00824C5D" w:rsidP="00824C5D">
      <w:pPr>
        <w:spacing w:line="360" w:lineRule="auto"/>
        <w:ind w:right="-1"/>
        <w:jc w:val="both"/>
        <w:rPr>
          <w:sz w:val="22"/>
          <w:szCs w:val="22"/>
          <w:lang w:val="en-US"/>
        </w:rPr>
      </w:pPr>
    </w:p>
    <w:p w:rsidR="00824C5D" w:rsidRPr="00F56BBC" w:rsidRDefault="00D7356D" w:rsidP="00824C5D">
      <w:pPr>
        <w:spacing w:line="360" w:lineRule="auto"/>
        <w:ind w:right="-1"/>
        <w:jc w:val="both"/>
        <w:rPr>
          <w:sz w:val="22"/>
          <w:szCs w:val="22"/>
          <w:lang w:val="en-US"/>
        </w:rPr>
      </w:pPr>
      <w:r>
        <w:rPr>
          <w:noProof/>
          <w:sz w:val="22"/>
          <w:szCs w:val="22"/>
          <w:lang w:val="en-US" w:eastAsia="ja-JP"/>
        </w:rPr>
        <w:pict>
          <v:line id="Conector reto 24" o:spid="_x0000_s1035" style="position:absolute;left:0;text-align:left;z-index:251669504;visibility:visible;mso-width-relative:margin;mso-height-relative:margin" from="209.7pt,2.5pt" to="289.9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" strokecolor="windowText" strokeweight=".5pt">
            <v:stroke joinstyle="miter"/>
            <o:lock v:ext="edit" shapetype="f"/>
          </v:line>
        </w:pict>
      </w:r>
      <w:r>
        <w:rPr>
          <w:noProof/>
          <w:sz w:val="22"/>
          <w:szCs w:val="22"/>
          <w:lang w:val="en-US" w:eastAsia="ja-JP"/>
        </w:rPr>
        <w:pict>
          <v:line id="Conector reto 23" o:spid="_x0000_s1034" style="position:absolute;left:0;text-align:left;flip:y;z-index:251668480;visibility:visible" from="136.95pt,1.75pt" to="209.7pt,1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" strokecolor="windowText" strokeweight=".5pt">
            <v:stroke joinstyle="miter"/>
            <o:lock v:ext="edit" shapetype="f"/>
          </v:line>
        </w:pict>
      </w:r>
      <w:r w:rsidR="00FA3EA9" w:rsidRPr="00902BCA">
        <w:rPr>
          <w:sz w:val="22"/>
          <w:szCs w:val="22"/>
          <w:lang w:val="en-US"/>
        </w:rPr>
        <w:t xml:space="preserve">                                                                           </w:t>
      </w:r>
      <w:r w:rsidR="00582A1A" w:rsidRPr="00902BCA">
        <w:rPr>
          <w:sz w:val="22"/>
          <w:szCs w:val="22"/>
          <w:lang w:val="en-US"/>
        </w:rPr>
        <w:t xml:space="preserve">  </w:t>
      </w:r>
      <w:r w:rsidR="00FA3EA9" w:rsidRPr="00902BCA">
        <w:rPr>
          <w:sz w:val="22"/>
          <w:szCs w:val="22"/>
          <w:lang w:val="en-US"/>
        </w:rPr>
        <w:t xml:space="preserve"> </w:t>
      </w:r>
      <w:r w:rsidR="00824C5D" w:rsidRPr="003C6E7E">
        <w:rPr>
          <w:sz w:val="22"/>
          <w:szCs w:val="22"/>
        </w:rPr>
        <w:t>β</w:t>
      </w:r>
    </w:p>
    <w:p w:rsidR="00824C5D" w:rsidRPr="00F56BBC" w:rsidRDefault="00824C5D" w:rsidP="00824C5D">
      <w:pPr>
        <w:spacing w:line="360" w:lineRule="auto"/>
        <w:ind w:right="-1"/>
        <w:jc w:val="both"/>
        <w:rPr>
          <w:sz w:val="22"/>
          <w:szCs w:val="22"/>
          <w:lang w:val="en-US"/>
        </w:rPr>
      </w:pPr>
    </w:p>
    <w:p w:rsidR="00824C5D" w:rsidRPr="00F56BBC" w:rsidRDefault="00824C5D" w:rsidP="00824C5D">
      <w:pPr>
        <w:spacing w:line="360" w:lineRule="auto"/>
        <w:ind w:right="-1"/>
        <w:jc w:val="both"/>
        <w:rPr>
          <w:sz w:val="22"/>
          <w:szCs w:val="22"/>
          <w:lang w:val="en-US"/>
        </w:rPr>
      </w:pPr>
    </w:p>
    <w:p w:rsidR="00824C5D" w:rsidRPr="00F56BBC" w:rsidRDefault="00824C5D" w:rsidP="00824C5D">
      <w:pPr>
        <w:spacing w:line="360" w:lineRule="auto"/>
        <w:ind w:right="-1"/>
        <w:jc w:val="both"/>
        <w:rPr>
          <w:sz w:val="22"/>
          <w:szCs w:val="22"/>
          <w:lang w:val="en-US"/>
        </w:rPr>
      </w:pPr>
    </w:p>
    <w:p w:rsidR="00824C5D" w:rsidRPr="00F56BBC" w:rsidRDefault="00D7356D" w:rsidP="00824C5D">
      <w:pPr>
        <w:tabs>
          <w:tab w:val="right" w:pos="8597"/>
        </w:tabs>
        <w:spacing w:line="360" w:lineRule="auto"/>
        <w:ind w:right="-1"/>
        <w:jc w:val="both"/>
        <w:rPr>
          <w:sz w:val="22"/>
          <w:szCs w:val="22"/>
          <w:lang w:val="en-US"/>
        </w:rPr>
      </w:pPr>
      <w:r>
        <w:rPr>
          <w:noProof/>
          <w:sz w:val="22"/>
          <w:szCs w:val="22"/>
          <w:lang w:val="en-US" w:eastAsia="ja-JP"/>
        </w:rPr>
        <w:pict>
          <v:shape id="Conector de seta reta 22" o:spid="_x0000_s1033" type="#_x0000_t32" style="position:absolute;left:0;text-align:left;margin-left:212.7pt;margin-top:10.45pt;width:108.75pt;height:43.5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" strokecolor="windowText" strokeweight=".5pt">
            <v:stroke endarrow="block" joinstyle="miter"/>
            <o:lock v:ext="edit" shapetype="f"/>
          </v:shape>
        </w:pict>
      </w:r>
      <w:r>
        <w:rPr>
          <w:noProof/>
          <w:sz w:val="22"/>
          <w:szCs w:val="22"/>
          <w:lang w:val="en-US" w:eastAsia="ja-JP"/>
        </w:rPr>
        <w:pict>
          <v:shape id="Conector de seta reta 21" o:spid="_x0000_s1032" type="#_x0000_t32" style="position:absolute;left:0;text-align:left;margin-left:105.45pt;margin-top:9.7pt;width:106.5pt;height:43.5pt;flip:x;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" strokecolor="windowText" strokeweight=".5pt">
            <v:stroke endarrow="block" joinstyle="miter"/>
            <o:lock v:ext="edit" shapetype="f"/>
          </v:shape>
        </w:pict>
      </w:r>
      <w:r w:rsidR="00824C5D" w:rsidRPr="00F56BBC">
        <w:rPr>
          <w:sz w:val="22"/>
          <w:szCs w:val="22"/>
          <w:lang w:val="en-US"/>
        </w:rPr>
        <w:tab/>
      </w:r>
    </w:p>
    <w:p w:rsidR="00824C5D" w:rsidRPr="007D51C6" w:rsidRDefault="00D7356D" w:rsidP="00824C5D">
      <w:pPr>
        <w:spacing w:line="360" w:lineRule="auto"/>
        <w:ind w:right="-1"/>
        <w:jc w:val="both"/>
        <w:rPr>
          <w:sz w:val="22"/>
          <w:szCs w:val="22"/>
          <w:lang w:val="en-US"/>
        </w:rPr>
      </w:pPr>
      <w:r>
        <w:rPr>
          <w:noProof/>
          <w:sz w:val="22"/>
          <w:szCs w:val="22"/>
          <w:lang w:val="en-US" w:eastAsia="ja-JP"/>
        </w:rPr>
        <w:pict>
          <v:line id="Conector reto 25" o:spid="_x0000_s1036" style="position:absolute;left:0;text-align:left;z-index:251670528;visibility:visible" from="138.45pt,20.3pt" to="289.2pt,2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" strokecolor="windowText" strokeweight=".5pt">
            <v:stroke joinstyle="miter"/>
            <o:lock v:ext="edit" shapetype="f"/>
          </v:line>
        </w:pict>
      </w:r>
      <w:r w:rsidR="00FA3EA9" w:rsidRPr="00902BCA">
        <w:rPr>
          <w:sz w:val="22"/>
          <w:szCs w:val="22"/>
          <w:lang w:val="en-US"/>
        </w:rPr>
        <w:t xml:space="preserve">                                               </w:t>
      </w:r>
      <w:r w:rsidR="00582A1A" w:rsidRPr="00902BCA">
        <w:rPr>
          <w:sz w:val="22"/>
          <w:szCs w:val="22"/>
          <w:lang w:val="en-US"/>
        </w:rPr>
        <w:t xml:space="preserve">     </w:t>
      </w:r>
      <w:r w:rsidR="00FA3EA9" w:rsidRPr="00902BCA">
        <w:rPr>
          <w:sz w:val="22"/>
          <w:szCs w:val="22"/>
          <w:lang w:val="en-US"/>
        </w:rPr>
        <w:t xml:space="preserve"> </w:t>
      </w:r>
      <w:r w:rsidR="00824C5D" w:rsidRPr="003C6E7E">
        <w:rPr>
          <w:sz w:val="22"/>
          <w:szCs w:val="22"/>
        </w:rPr>
        <w:t>β</w:t>
      </w:r>
      <w:r w:rsidR="00582A1A" w:rsidRPr="00902BCA">
        <w:rPr>
          <w:sz w:val="22"/>
          <w:szCs w:val="22"/>
          <w:lang w:val="en-US"/>
        </w:rPr>
        <w:t xml:space="preserve">                                                            </w:t>
      </w:r>
      <w:r w:rsidR="00824C5D" w:rsidRPr="003C6E7E">
        <w:rPr>
          <w:sz w:val="22"/>
          <w:szCs w:val="22"/>
        </w:rPr>
        <w:t>β</w:t>
      </w:r>
    </w:p>
    <w:p w:rsidR="00824C5D" w:rsidRPr="007D51C6" w:rsidRDefault="00FA3EA9" w:rsidP="00824C5D">
      <w:pPr>
        <w:spacing w:line="360" w:lineRule="auto"/>
        <w:ind w:right="-1"/>
        <w:rPr>
          <w:sz w:val="22"/>
          <w:szCs w:val="22"/>
          <w:lang w:val="en-US"/>
        </w:rPr>
      </w:pPr>
      <w:r w:rsidRPr="00902BCA">
        <w:rPr>
          <w:sz w:val="22"/>
          <w:szCs w:val="22"/>
          <w:lang w:val="en-US"/>
        </w:rPr>
        <w:t xml:space="preserve">                                   </w:t>
      </w:r>
      <w:r w:rsidR="00582A1A" w:rsidRPr="00902BCA">
        <w:rPr>
          <w:sz w:val="22"/>
          <w:szCs w:val="22"/>
          <w:lang w:val="en-US"/>
        </w:rPr>
        <w:t xml:space="preserve">     </w:t>
      </w:r>
      <w:r w:rsidR="00824C5D" w:rsidRPr="003C6E7E">
        <w:rPr>
          <w:sz w:val="22"/>
          <w:szCs w:val="22"/>
        </w:rPr>
        <w:t>τ</w:t>
      </w:r>
      <w:r w:rsidR="00824C5D" w:rsidRPr="007D51C6">
        <w:rPr>
          <w:sz w:val="22"/>
          <w:szCs w:val="22"/>
          <w:lang w:val="en-US"/>
        </w:rPr>
        <w:t xml:space="preserve">’                                              </w:t>
      </w:r>
      <w:r w:rsidR="00582A1A">
        <w:rPr>
          <w:sz w:val="22"/>
          <w:szCs w:val="22"/>
          <w:lang w:val="en-US"/>
        </w:rPr>
        <w:t xml:space="preserve">                                         </w:t>
      </w:r>
      <w:r w:rsidR="00824C5D" w:rsidRPr="003C6E7E">
        <w:rPr>
          <w:sz w:val="22"/>
          <w:szCs w:val="22"/>
        </w:rPr>
        <w:t>ϕ</w:t>
      </w:r>
      <w:r w:rsidR="00824C5D" w:rsidRPr="007D51C6">
        <w:rPr>
          <w:sz w:val="22"/>
          <w:szCs w:val="22"/>
          <w:lang w:val="en-US"/>
        </w:rPr>
        <w:t>’</w:t>
      </w:r>
    </w:p>
    <w:p w:rsidR="00824C5D" w:rsidRPr="007D51C6" w:rsidRDefault="00824C5D" w:rsidP="00824C5D">
      <w:pPr>
        <w:spacing w:line="360" w:lineRule="auto"/>
        <w:ind w:right="-1"/>
        <w:jc w:val="both"/>
        <w:rPr>
          <w:rFonts w:ascii="Times New Roman" w:hAnsi="Times New Roman" w:cs="Times New Roman"/>
          <w:lang w:val="en-US"/>
        </w:rPr>
      </w:pPr>
      <w:r w:rsidRPr="007D51C6">
        <w:rPr>
          <w:rFonts w:ascii="Times New Roman" w:hAnsi="Times New Roman" w:cs="Times New Roman"/>
          <w:lang w:val="en-US"/>
        </w:rPr>
        <w:t xml:space="preserve">Source: elaborated by the authors. </w:t>
      </w:r>
    </w:p>
    <w:p w:rsidR="00824C5D" w:rsidRPr="007D51C6" w:rsidRDefault="00824C5D" w:rsidP="00824C5D">
      <w:pPr>
        <w:spacing w:line="360" w:lineRule="auto"/>
        <w:ind w:right="-1" w:firstLine="709"/>
        <w:jc w:val="both"/>
        <w:rPr>
          <w:rFonts w:ascii="Times New Roman" w:hAnsi="Times New Roman" w:cs="Times New Roman"/>
          <w:lang w:val="en-US"/>
        </w:rPr>
      </w:pPr>
    </w:p>
    <w:p w:rsidR="00824C5D" w:rsidRPr="00331063" w:rsidRDefault="00824C5D" w:rsidP="00824C5D">
      <w:pPr>
        <w:spacing w:line="360" w:lineRule="auto"/>
        <w:ind w:right="-1" w:firstLine="851"/>
        <w:jc w:val="both"/>
        <w:rPr>
          <w:rFonts w:ascii="Times New Roman" w:hAnsi="Times New Roman" w:cs="Times New Roman"/>
          <w:vanish/>
          <w:sz w:val="24"/>
          <w:szCs w:val="24"/>
          <w:lang w:val="en-US"/>
        </w:rPr>
      </w:pPr>
    </w:p>
    <w:p w:rsidR="00824C5D" w:rsidRPr="00FF7626" w:rsidRDefault="00824C5D" w:rsidP="00824C5D">
      <w:pPr>
        <w:spacing w:line="360" w:lineRule="auto"/>
        <w:ind w:right="-1" w:firstLine="851"/>
        <w:jc w:val="both"/>
        <w:rPr>
          <w:rFonts w:ascii="Times New Roman" w:hAnsi="Times New Roman" w:cs="Times New Roman"/>
          <w:vanish/>
          <w:sz w:val="24"/>
          <w:szCs w:val="24"/>
          <w:lang w:val="en-US"/>
        </w:rPr>
      </w:pPr>
      <w:r w:rsidRPr="00AF19D2">
        <w:rPr>
          <w:rFonts w:ascii="Times New Roman" w:hAnsi="Times New Roman" w:cs="Times New Roman"/>
          <w:sz w:val="24"/>
          <w:szCs w:val="24"/>
          <w:lang w:val="en-US"/>
        </w:rPr>
        <w:t xml:space="preserve">The area of the triangle, which </w:t>
      </w:r>
      <w:r>
        <w:rPr>
          <w:rFonts w:ascii="Times New Roman" w:hAnsi="Times New Roman" w:cs="Times New Roman"/>
          <w:sz w:val="24"/>
          <w:szCs w:val="24"/>
          <w:lang w:val="en-US"/>
        </w:rPr>
        <w:t>will be called (Aw), in Figure 3</w:t>
      </w:r>
      <w:r w:rsidRPr="00AF19D2">
        <w:rPr>
          <w:rFonts w:ascii="Times New Roman" w:hAnsi="Times New Roman" w:cs="Times New Roman"/>
          <w:sz w:val="24"/>
          <w:szCs w:val="24"/>
          <w:lang w:val="en-US"/>
        </w:rPr>
        <w:t>, represents the index of a</w:t>
      </w:r>
      <w:r>
        <w:rPr>
          <w:rFonts w:ascii="Times New Roman" w:hAnsi="Times New Roman" w:cs="Times New Roman"/>
          <w:sz w:val="24"/>
          <w:szCs w:val="24"/>
          <w:lang w:val="en-US"/>
        </w:rPr>
        <w:t>n ideal country</w:t>
      </w:r>
      <w:r w:rsidRPr="00AF19D2">
        <w:rPr>
          <w:rFonts w:ascii="Times New Roman" w:hAnsi="Times New Roman" w:cs="Times New Roman"/>
          <w:sz w:val="24"/>
          <w:szCs w:val="24"/>
          <w:lang w:val="en-US"/>
        </w:rPr>
        <w:t>.</w:t>
      </w:r>
      <w:r w:rsidR="00FA3EA9">
        <w:rPr>
          <w:rFonts w:ascii="Times New Roman" w:hAnsi="Times New Roman" w:cs="Times New Roman"/>
          <w:sz w:val="24"/>
          <w:szCs w:val="24"/>
          <w:lang w:val="en-US"/>
        </w:rPr>
        <w:t xml:space="preserve"> </w:t>
      </w:r>
      <w:r w:rsidRPr="00AF19D2">
        <w:rPr>
          <w:rFonts w:ascii="Times New Roman" w:hAnsi="Times New Roman" w:cs="Times New Roman"/>
          <w:sz w:val="24"/>
          <w:szCs w:val="24"/>
          <w:lang w:val="en-US"/>
        </w:rPr>
        <w:t>Assumin</w:t>
      </w:r>
      <w:r>
        <w:rPr>
          <w:rFonts w:ascii="Times New Roman" w:hAnsi="Times New Roman" w:cs="Times New Roman"/>
          <w:sz w:val="24"/>
          <w:szCs w:val="24"/>
          <w:lang w:val="en-US"/>
        </w:rPr>
        <w:t>g that the relation of two variables</w:t>
      </w:r>
      <w:r w:rsidRPr="00AF19D2">
        <w:rPr>
          <w:rFonts w:ascii="Times New Roman" w:hAnsi="Times New Roman" w:cs="Times New Roman"/>
          <w:sz w:val="24"/>
          <w:szCs w:val="24"/>
          <w:lang w:val="en-US"/>
        </w:rPr>
        <w:t xml:space="preserve">, for example, </w:t>
      </w:r>
      <w:r w:rsidRPr="00AF19D2">
        <w:rPr>
          <w:rFonts w:ascii="Times New Roman" w:hAnsi="Times New Roman" w:cs="Times New Roman"/>
          <w:sz w:val="24"/>
          <w:szCs w:val="24"/>
        </w:rPr>
        <w:t>γ</w:t>
      </w:r>
      <w:r w:rsidRPr="00AF19D2">
        <w:rPr>
          <w:rFonts w:ascii="Times New Roman" w:hAnsi="Times New Roman" w:cs="Times New Roman"/>
          <w:sz w:val="24"/>
          <w:szCs w:val="24"/>
          <w:lang w:val="en-US"/>
        </w:rPr>
        <w:t xml:space="preserve">' and </w:t>
      </w:r>
      <w:r w:rsidRPr="00AF19D2">
        <w:rPr>
          <w:rFonts w:ascii="Times New Roman" w:hAnsi="Times New Roman" w:cs="Times New Roman"/>
          <w:sz w:val="24"/>
          <w:szCs w:val="24"/>
        </w:rPr>
        <w:t>τ</w:t>
      </w:r>
      <w:r w:rsidRPr="00AF19D2">
        <w:rPr>
          <w:rFonts w:ascii="Times New Roman" w:hAnsi="Times New Roman" w:cs="Times New Roman"/>
          <w:sz w:val="24"/>
          <w:szCs w:val="24"/>
          <w:lang w:val="en-US"/>
        </w:rPr>
        <w:t>’, fo</w:t>
      </w:r>
      <w:r>
        <w:rPr>
          <w:rFonts w:ascii="Times New Roman" w:hAnsi="Times New Roman" w:cs="Times New Roman"/>
          <w:sz w:val="24"/>
          <w:szCs w:val="24"/>
          <w:lang w:val="en-US"/>
        </w:rPr>
        <w:t xml:space="preserve">rmed equilateral triangles, the value </w:t>
      </w:r>
      <w:r w:rsidRPr="00AF19D2">
        <w:rPr>
          <w:rFonts w:ascii="Times New Roman" w:hAnsi="Times New Roman" w:cs="Times New Roman"/>
          <w:sz w:val="24"/>
          <w:szCs w:val="24"/>
          <w:lang w:val="en-US"/>
        </w:rPr>
        <w:t xml:space="preserve">Aw can </w:t>
      </w:r>
      <w:r>
        <w:rPr>
          <w:rFonts w:ascii="Times New Roman" w:hAnsi="Times New Roman" w:cs="Times New Roman"/>
          <w:sz w:val="24"/>
          <w:szCs w:val="24"/>
          <w:lang w:val="en-US"/>
        </w:rPr>
        <w:t xml:space="preserve">be </w:t>
      </w:r>
      <w:r w:rsidRPr="00AF19D2">
        <w:rPr>
          <w:rFonts w:ascii="Times New Roman" w:hAnsi="Times New Roman" w:cs="Times New Roman"/>
          <w:sz w:val="24"/>
          <w:szCs w:val="24"/>
          <w:lang w:val="en-US"/>
        </w:rPr>
        <w:t>calculate</w:t>
      </w:r>
      <w:r>
        <w:rPr>
          <w:rFonts w:ascii="Times New Roman" w:hAnsi="Times New Roman" w:cs="Times New Roman"/>
          <w:sz w:val="24"/>
          <w:szCs w:val="24"/>
          <w:lang w:val="en-US"/>
        </w:rPr>
        <w:t>d</w:t>
      </w:r>
      <w:r w:rsidRPr="00AF19D2">
        <w:rPr>
          <w:rFonts w:ascii="Times New Roman" w:hAnsi="Times New Roman" w:cs="Times New Roman"/>
          <w:sz w:val="24"/>
          <w:szCs w:val="24"/>
          <w:lang w:val="en-US"/>
        </w:rPr>
        <w:t xml:space="preserve"> in the following way:</w:t>
      </w:r>
    </w:p>
    <w:p w:rsidR="00824C5D" w:rsidRPr="00AF19D2" w:rsidRDefault="00824C5D" w:rsidP="00824C5D">
      <w:pPr>
        <w:spacing w:after="160" w:line="259" w:lineRule="auto"/>
        <w:ind w:right="-1"/>
        <w:rPr>
          <w:rFonts w:ascii="Times New Roman" w:hAnsi="Times New Roman" w:cs="Times New Roman"/>
          <w:vanish/>
          <w:sz w:val="24"/>
          <w:szCs w:val="24"/>
          <w:lang w:val="en-US"/>
        </w:rPr>
      </w:pPr>
    </w:p>
    <w:tbl>
      <w:tblPr>
        <w:tblW w:w="8755" w:type="dxa"/>
        <w:tblLook w:val="04A0" w:firstRow="1" w:lastRow="0" w:firstColumn="1" w:lastColumn="0" w:noHBand="0" w:noVBand="1"/>
      </w:tblPr>
      <w:tblGrid>
        <w:gridCol w:w="564"/>
        <w:gridCol w:w="7342"/>
        <w:gridCol w:w="849"/>
      </w:tblGrid>
      <w:tr w:rsidR="00824C5D" w:rsidRPr="00AF19D2" w:rsidTr="00582A1A">
        <w:trPr>
          <w:trHeight w:val="324"/>
        </w:trPr>
        <w:tc>
          <w:tcPr>
            <w:tcW w:w="564" w:type="dxa"/>
          </w:tcPr>
          <w:p w:rsidR="00824C5D" w:rsidRPr="007414BE" w:rsidRDefault="00824C5D" w:rsidP="00582A1A">
            <w:pPr>
              <w:spacing w:after="160" w:line="259" w:lineRule="auto"/>
              <w:ind w:right="-1"/>
              <w:rPr>
                <w:rFonts w:ascii="Times New Roman" w:hAnsi="Times New Roman" w:cs="Times New Roman"/>
                <w:sz w:val="24"/>
                <w:szCs w:val="24"/>
                <w:lang w:val="en-US"/>
              </w:rPr>
            </w:pPr>
          </w:p>
        </w:tc>
        <w:tc>
          <w:tcPr>
            <w:tcW w:w="7342" w:type="dxa"/>
          </w:tcPr>
          <w:p w:rsidR="00824C5D" w:rsidRPr="007414BE" w:rsidRDefault="00824C5D" w:rsidP="00582A1A">
            <w:pPr>
              <w:spacing w:after="160" w:line="259" w:lineRule="auto"/>
              <w:ind w:right="-1"/>
              <w:rPr>
                <w:rFonts w:ascii="Times New Roman" w:hAnsi="Times New Roman" w:cs="Times New Roman"/>
                <w:sz w:val="24"/>
                <w:szCs w:val="24"/>
              </w:rPr>
            </w:pPr>
            <m:oMathPara>
              <m:oMathParaPr>
                <m:jc m:val="center"/>
              </m:oMathParaPr>
              <m:oMath>
                <m:r>
                  <w:rPr>
                    <w:rFonts w:ascii="Cambria Math" w:hAnsi="Cambria Math" w:cs="Times New Roman"/>
                    <w:sz w:val="24"/>
                    <w:szCs w:val="24"/>
                  </w:rPr>
                  <m:t>A</m:t>
                </m:r>
                <m:r>
                  <w:rPr>
                    <w:rFonts w:ascii="Cambria Math" w:hAnsi="Cambria Math" w:cs="Times New Roman"/>
                    <w:sz w:val="24"/>
                    <w:szCs w:val="24"/>
                    <w:vertAlign w:val="subscript"/>
                  </w:rPr>
                  <m:t>w</m:t>
                </m:r>
                <m:r>
                  <w:rPr>
                    <w:rFonts w:ascii="Cambria Math" w:hAnsi="Cambria Math" w:cs="Times New Roman"/>
                    <w:sz w:val="24"/>
                    <w:szCs w:val="24"/>
                  </w:rPr>
                  <m:t xml:space="preserve"> =3 x </m:t>
                </m:r>
                <m:f>
                  <m:fPr>
                    <m:ctrlPr>
                      <w:rPr>
                        <w:rFonts w:ascii="Cambria Math" w:hAnsi="Cambria Math" w:cs="Times New Roman"/>
                        <w:i/>
                        <w:sz w:val="24"/>
                        <w:szCs w:val="24"/>
                      </w:rPr>
                    </m:ctrlPr>
                  </m:fPr>
                  <m:num>
                    <m:r>
                      <w:rPr>
                        <w:rFonts w:ascii="Cambria Math" w:hAnsi="Cambria Math" w:cs="Times New Roman"/>
                        <w:sz w:val="24"/>
                        <w:szCs w:val="24"/>
                      </w:rPr>
                      <m:t>h β</m:t>
                    </m:r>
                  </m:num>
                  <m:den>
                    <m:r>
                      <w:rPr>
                        <w:rFonts w:ascii="Cambria Math" w:hAnsi="Cambria Math" w:cs="Times New Roman"/>
                        <w:sz w:val="24"/>
                        <w:szCs w:val="24"/>
                      </w:rPr>
                      <m:t>2</m:t>
                    </m:r>
                  </m:den>
                </m:f>
              </m:oMath>
            </m:oMathPara>
          </w:p>
        </w:tc>
        <w:tc>
          <w:tcPr>
            <w:tcW w:w="849" w:type="dxa"/>
          </w:tcPr>
          <w:p w:rsidR="00824C5D" w:rsidRPr="007414BE" w:rsidRDefault="00824C5D" w:rsidP="00582A1A">
            <w:pPr>
              <w:spacing w:after="160" w:line="259" w:lineRule="auto"/>
              <w:ind w:right="-1"/>
              <w:rPr>
                <w:rFonts w:ascii="Times New Roman" w:hAnsi="Times New Roman" w:cs="Times New Roman"/>
                <w:sz w:val="24"/>
                <w:szCs w:val="24"/>
              </w:rPr>
            </w:pPr>
            <w:r w:rsidRPr="007414BE">
              <w:rPr>
                <w:rFonts w:ascii="Times New Roman" w:hAnsi="Times New Roman" w:cs="Times New Roman"/>
                <w:sz w:val="24"/>
                <w:szCs w:val="24"/>
              </w:rPr>
              <w:t>(10)</w:t>
            </w:r>
          </w:p>
        </w:tc>
      </w:tr>
      <w:tr w:rsidR="00824C5D" w:rsidRPr="00AF19D2" w:rsidTr="00582A1A">
        <w:trPr>
          <w:trHeight w:val="324"/>
        </w:trPr>
        <w:tc>
          <w:tcPr>
            <w:tcW w:w="564" w:type="dxa"/>
          </w:tcPr>
          <w:p w:rsidR="00824C5D" w:rsidRPr="007414BE" w:rsidRDefault="00824C5D" w:rsidP="00582A1A">
            <w:pPr>
              <w:ind w:right="-1"/>
              <w:rPr>
                <w:rFonts w:ascii="Times New Roman" w:hAnsi="Times New Roman" w:cs="Times New Roman"/>
                <w:sz w:val="24"/>
                <w:szCs w:val="24"/>
                <w:lang w:val="en-US"/>
              </w:rPr>
            </w:pPr>
          </w:p>
        </w:tc>
        <w:tc>
          <w:tcPr>
            <w:tcW w:w="7342" w:type="dxa"/>
          </w:tcPr>
          <w:p w:rsidR="00824C5D" w:rsidRPr="007414BE" w:rsidRDefault="00824C5D" w:rsidP="00582A1A">
            <w:pPr>
              <w:ind w:right="-1"/>
              <w:rPr>
                <w:rFonts w:ascii="Times New Roman" w:hAnsi="Times New Roman" w:cs="Times New Roman"/>
                <w:sz w:val="24"/>
                <w:szCs w:val="24"/>
              </w:rPr>
            </w:pPr>
          </w:p>
        </w:tc>
        <w:tc>
          <w:tcPr>
            <w:tcW w:w="849" w:type="dxa"/>
          </w:tcPr>
          <w:p w:rsidR="00824C5D" w:rsidRPr="007414BE" w:rsidRDefault="00824C5D" w:rsidP="00582A1A">
            <w:pPr>
              <w:spacing w:after="160" w:line="259" w:lineRule="auto"/>
              <w:ind w:right="-1"/>
              <w:rPr>
                <w:rFonts w:ascii="Times New Roman" w:hAnsi="Times New Roman" w:cs="Times New Roman"/>
                <w:sz w:val="24"/>
                <w:szCs w:val="24"/>
              </w:rPr>
            </w:pPr>
          </w:p>
        </w:tc>
      </w:tr>
    </w:tbl>
    <w:p w:rsidR="00824C5D" w:rsidRDefault="00824C5D" w:rsidP="00824C5D">
      <w:pPr>
        <w:ind w:right="-1"/>
        <w:rPr>
          <w:rFonts w:ascii="Times New Roman" w:hAnsi="Times New Roman" w:cs="Times New Roman"/>
          <w:sz w:val="24"/>
          <w:szCs w:val="24"/>
          <w:lang w:val="en-US"/>
        </w:rPr>
      </w:pPr>
      <w:r w:rsidRPr="00AF19D2">
        <w:rPr>
          <w:rFonts w:ascii="Times New Roman" w:hAnsi="Times New Roman" w:cs="Times New Roman"/>
          <w:sz w:val="24"/>
          <w:szCs w:val="24"/>
          <w:lang w:val="en-US"/>
        </w:rPr>
        <w:t>where h is the heig</w:t>
      </w:r>
      <w:r>
        <w:rPr>
          <w:rFonts w:ascii="Times New Roman" w:hAnsi="Times New Roman" w:cs="Times New Roman"/>
          <w:sz w:val="24"/>
          <w:szCs w:val="24"/>
          <w:lang w:val="en-US"/>
        </w:rPr>
        <w:t>ht and β is the side of Figure 3</w:t>
      </w:r>
      <w:r w:rsidRPr="00AF19D2">
        <w:rPr>
          <w:rFonts w:ascii="Times New Roman" w:hAnsi="Times New Roman" w:cs="Times New Roman"/>
          <w:sz w:val="24"/>
          <w:szCs w:val="24"/>
          <w:lang w:val="en-US"/>
        </w:rPr>
        <w:t>.</w:t>
      </w:r>
      <w:r>
        <w:rPr>
          <w:rFonts w:ascii="Times New Roman" w:hAnsi="Times New Roman" w:cs="Times New Roman"/>
          <w:sz w:val="24"/>
          <w:szCs w:val="24"/>
          <w:lang w:val="en-US"/>
        </w:rPr>
        <w:t xml:space="preserve"> Thus,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β</m:t>
            </m:r>
          </m:e>
          <m:sup>
            <m:r>
              <w:rPr>
                <w:rFonts w:ascii="Cambria Math" w:eastAsia="Times New Roman" w:hAnsi="Cambria Math" w:cs="Times New Roman"/>
                <w:sz w:val="24"/>
                <w:szCs w:val="24"/>
                <w:lang w:val="en-US"/>
              </w:rPr>
              <m:t>2</m:t>
            </m:r>
          </m:sup>
        </m:sSup>
        <m:r>
          <w:rPr>
            <w:rFonts w:ascii="Cambria Math" w:eastAsia="Times New Roman" w:hAnsi="Cambria Math" w:cs="Times New Roman"/>
            <w:sz w:val="24"/>
            <w:szCs w:val="24"/>
            <w:lang w:val="en-US"/>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en-US"/>
              </w:rPr>
              <m:t>4</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en-US"/>
                  </w:rPr>
                  <m:t>3</m:t>
                </m:r>
              </m:e>
            </m:rad>
          </m:num>
          <m:den>
            <m:r>
              <w:rPr>
                <w:rFonts w:ascii="Cambria Math" w:eastAsia="Times New Roman" w:hAnsi="Cambria Math" w:cs="Times New Roman"/>
                <w:sz w:val="24"/>
                <w:szCs w:val="24"/>
                <w:lang w:val="en-US"/>
              </w:rPr>
              <m:t>9</m:t>
            </m:r>
          </m:den>
        </m:f>
      </m:oMath>
      <w:r>
        <w:rPr>
          <w:rFonts w:ascii="Times New Roman" w:hAnsi="Times New Roman" w:cs="Times New Roman"/>
          <w:sz w:val="24"/>
          <w:szCs w:val="24"/>
          <w:lang w:val="en-US"/>
        </w:rPr>
        <w:t>.</w:t>
      </w:r>
      <w:r>
        <w:rPr>
          <w:rFonts w:ascii="Times New Roman" w:hAnsi="Times New Roman" w:cs="Times New Roman"/>
          <w:sz w:val="24"/>
          <w:szCs w:val="24"/>
          <w:lang w:val="en-US"/>
        </w:rPr>
        <w:tab/>
      </w:r>
    </w:p>
    <w:p w:rsidR="00824C5D" w:rsidRPr="00F52B13" w:rsidRDefault="00824C5D" w:rsidP="00824C5D">
      <w:pPr>
        <w:spacing w:after="160" w:line="259" w:lineRule="auto"/>
        <w:ind w:right="-1"/>
        <w:rPr>
          <w:rFonts w:ascii="Times New Roman" w:hAnsi="Times New Roman" w:cs="Times New Roman"/>
          <w:vanish/>
          <w:sz w:val="24"/>
          <w:szCs w:val="24"/>
        </w:rPr>
      </w:pPr>
    </w:p>
    <w:p w:rsidR="00824C5D" w:rsidRDefault="00824C5D" w:rsidP="00824C5D">
      <w:pPr>
        <w:spacing w:line="360" w:lineRule="auto"/>
        <w:ind w:right="-1" w:firstLine="709"/>
        <w:jc w:val="both"/>
        <w:rPr>
          <w:rFonts w:ascii="Times New Roman" w:hAnsi="Times New Roman" w:cs="Times New Roman"/>
          <w:sz w:val="24"/>
          <w:szCs w:val="24"/>
          <w:lang w:val="en-US"/>
        </w:rPr>
      </w:pPr>
      <w:r w:rsidRPr="00A614E1">
        <w:rPr>
          <w:rFonts w:ascii="Times New Roman" w:hAnsi="Times New Roman" w:cs="Times New Roman"/>
          <w:sz w:val="24"/>
          <w:szCs w:val="24"/>
          <w:lang w:val="en-US"/>
        </w:rPr>
        <w:t>U</w:t>
      </w:r>
      <w:r>
        <w:rPr>
          <w:rFonts w:ascii="Times New Roman" w:hAnsi="Times New Roman" w:cs="Times New Roman"/>
          <w:sz w:val="24"/>
          <w:szCs w:val="24"/>
          <w:lang w:val="en-US"/>
        </w:rPr>
        <w:t>sing</w:t>
      </w:r>
      <w:r w:rsidRPr="00F52B13">
        <w:rPr>
          <w:rFonts w:ascii="Times New Roman" w:hAnsi="Times New Roman" w:cs="Times New Roman"/>
          <w:sz w:val="24"/>
          <w:szCs w:val="24"/>
          <w:lang w:val="en-US"/>
        </w:rPr>
        <w:t xml:space="preserve"> the sam</w:t>
      </w:r>
      <w:r>
        <w:rPr>
          <w:rFonts w:ascii="Times New Roman" w:hAnsi="Times New Roman" w:cs="Times New Roman"/>
          <w:sz w:val="24"/>
          <w:szCs w:val="24"/>
          <w:lang w:val="en-US"/>
        </w:rPr>
        <w:t>e approach for the area</w:t>
      </w:r>
      <w:r w:rsidRPr="00F52B13">
        <w:rPr>
          <w:rFonts w:ascii="Times New Roman" w:hAnsi="Times New Roman" w:cs="Times New Roman"/>
          <w:sz w:val="24"/>
          <w:szCs w:val="24"/>
          <w:lang w:val="en-US"/>
        </w:rPr>
        <w:t xml:space="preserve"> of a triangle formed by the actual </w:t>
      </w:r>
      <w:r>
        <w:rPr>
          <w:rFonts w:ascii="Times New Roman" w:hAnsi="Times New Roman" w:cs="Times New Roman"/>
          <w:sz w:val="24"/>
          <w:szCs w:val="24"/>
          <w:lang w:val="en-US"/>
        </w:rPr>
        <w:t>values of an economy, called A</w:t>
      </w:r>
      <w:r w:rsidRPr="00F52B13">
        <w:rPr>
          <w:rFonts w:ascii="Times New Roman" w:hAnsi="Times New Roman" w:cs="Times New Roman"/>
          <w:sz w:val="24"/>
          <w:szCs w:val="24"/>
          <w:lang w:val="en-US"/>
        </w:rPr>
        <w:t>’</w:t>
      </w:r>
      <w:r>
        <w:rPr>
          <w:rFonts w:ascii="Times New Roman" w:hAnsi="Times New Roman" w:cs="Times New Roman"/>
          <w:sz w:val="24"/>
          <w:szCs w:val="24"/>
          <w:lang w:val="en-US"/>
        </w:rPr>
        <w:t>,</w:t>
      </w:r>
      <w:r w:rsidRPr="00F52B13">
        <w:rPr>
          <w:rFonts w:ascii="Times New Roman" w:hAnsi="Times New Roman" w:cs="Times New Roman"/>
          <w:sz w:val="24"/>
          <w:szCs w:val="24"/>
          <w:lang w:val="en-US"/>
        </w:rPr>
        <w:t xml:space="preserve"> the performance of a </w:t>
      </w:r>
      <w:r>
        <w:rPr>
          <w:rFonts w:ascii="Times New Roman" w:hAnsi="Times New Roman" w:cs="Times New Roman"/>
          <w:sz w:val="24"/>
          <w:szCs w:val="24"/>
          <w:lang w:val="en-US"/>
        </w:rPr>
        <w:t>country</w:t>
      </w:r>
      <w:r w:rsidRPr="00F52B13">
        <w:rPr>
          <w:rFonts w:ascii="Times New Roman" w:hAnsi="Times New Roman" w:cs="Times New Roman"/>
          <w:sz w:val="24"/>
          <w:szCs w:val="24"/>
          <w:lang w:val="en-US"/>
        </w:rPr>
        <w:t xml:space="preserve"> can be calculated from the standard values of each variable found in (7) to (9) :</w:t>
      </w:r>
    </w:p>
    <w:p w:rsidR="00824C5D" w:rsidRPr="00F52B13" w:rsidRDefault="00824C5D" w:rsidP="00824C5D">
      <w:pPr>
        <w:ind w:right="-1"/>
        <w:rPr>
          <w:rFonts w:ascii="Times New Roman" w:hAnsi="Times New Roman" w:cs="Times New Roman"/>
          <w:sz w:val="24"/>
          <w:szCs w:val="24"/>
          <w:lang w:val="en-US"/>
        </w:rPr>
      </w:pPr>
    </w:p>
    <w:p w:rsidR="00824C5D" w:rsidRPr="00F52B13" w:rsidRDefault="00824C5D" w:rsidP="00824C5D">
      <w:pPr>
        <w:spacing w:after="160" w:line="259" w:lineRule="auto"/>
        <w:ind w:right="-1"/>
        <w:rPr>
          <w:rFonts w:ascii="Times New Roman" w:hAnsi="Times New Roman" w:cs="Times New Roman"/>
          <w:vanish/>
          <w:sz w:val="24"/>
          <w:szCs w:val="24"/>
          <w:lang w:val="en-US"/>
        </w:rPr>
      </w:pPr>
    </w:p>
    <w:tbl>
      <w:tblPr>
        <w:tblW w:w="8522" w:type="dxa"/>
        <w:tblLook w:val="04A0" w:firstRow="1" w:lastRow="0" w:firstColumn="1" w:lastColumn="0" w:noHBand="0" w:noVBand="1"/>
      </w:tblPr>
      <w:tblGrid>
        <w:gridCol w:w="564"/>
        <w:gridCol w:w="7343"/>
        <w:gridCol w:w="615"/>
      </w:tblGrid>
      <w:tr w:rsidR="00824C5D" w:rsidRPr="003C6E7E" w:rsidTr="00582A1A">
        <w:trPr>
          <w:trHeight w:val="324"/>
        </w:trPr>
        <w:tc>
          <w:tcPr>
            <w:tcW w:w="567" w:type="dxa"/>
          </w:tcPr>
          <w:p w:rsidR="00824C5D" w:rsidRPr="007414BE" w:rsidRDefault="00824C5D" w:rsidP="00582A1A">
            <w:pPr>
              <w:spacing w:line="360" w:lineRule="auto"/>
              <w:ind w:right="-1"/>
              <w:jc w:val="both"/>
              <w:rPr>
                <w:lang w:val="en-US"/>
              </w:rPr>
            </w:pPr>
          </w:p>
        </w:tc>
        <w:tc>
          <w:tcPr>
            <w:tcW w:w="7388" w:type="dxa"/>
          </w:tcPr>
          <w:p w:rsidR="00824C5D" w:rsidRPr="007414BE" w:rsidRDefault="00824C5D" w:rsidP="00582A1A">
            <w:pPr>
              <w:spacing w:line="360" w:lineRule="auto"/>
              <w:ind w:right="-1"/>
              <w:jc w:val="both"/>
              <w:rPr>
                <w:sz w:val="24"/>
                <w:szCs w:val="24"/>
              </w:rPr>
            </w:pPr>
            <m:oMathPara>
              <m:oMathParaPr>
                <m:jc m:val="center"/>
              </m:oMathParaPr>
              <m:oMath>
                <m:r>
                  <m:rPr>
                    <m:sty m:val="p"/>
                  </m:rPr>
                  <w:rPr>
                    <w:rFonts w:ascii="Cambria Math" w:hAnsi="Cambria Math"/>
                    <w:sz w:val="24"/>
                    <w:szCs w:val="24"/>
                  </w:rPr>
                  <m:t xml:space="preserve">A’ </m:t>
                </m:r>
                <m:r>
                  <w:rPr>
                    <w:rFonts w:ascii="Cambria Math" w:hAnsi="Cambria Math"/>
                    <w:sz w:val="24"/>
                    <w:szCs w:val="24"/>
                  </w:rPr>
                  <m:t>=</m:t>
                </m:r>
                <m:f>
                  <m:fPr>
                    <m:ctrlPr>
                      <w:rPr>
                        <w:rFonts w:ascii="Cambria Math" w:eastAsia="MS Gothic" w:hAnsi="Cambria Math"/>
                        <w:sz w:val="24"/>
                        <w:szCs w:val="24"/>
                      </w:rPr>
                    </m:ctrlPr>
                  </m:fPr>
                  <m:num>
                    <m:rad>
                      <m:radPr>
                        <m:degHide m:val="1"/>
                        <m:ctrlPr>
                          <w:rPr>
                            <w:rFonts w:ascii="Cambria Math" w:eastAsia="MS Gothic" w:hAnsi="Cambria Math"/>
                            <w:i/>
                            <w:sz w:val="24"/>
                            <w:szCs w:val="24"/>
                          </w:rPr>
                        </m:ctrlPr>
                      </m:radPr>
                      <m:deg/>
                      <m:e>
                        <m:r>
                          <w:rPr>
                            <w:rFonts w:ascii="Cambria Math" w:eastAsia="MS Gothic" w:hAnsi="Cambria Math"/>
                            <w:sz w:val="24"/>
                            <w:szCs w:val="24"/>
                          </w:rPr>
                          <m:t>3</m:t>
                        </m:r>
                      </m:e>
                    </m:rad>
                  </m:num>
                  <m:den>
                    <m:r>
                      <w:rPr>
                        <w:rFonts w:ascii="Cambria Math" w:eastAsia="MS Gothic" w:hAnsi="Cambria Math"/>
                        <w:sz w:val="24"/>
                        <w:szCs w:val="24"/>
                      </w:rPr>
                      <m:t>4</m:t>
                    </m:r>
                  </m:den>
                </m:f>
                <m:r>
                  <w:rPr>
                    <w:rFonts w:ascii="Cambria Math" w:eastAsia="MS Gothic" w:hAnsi="Cambria Math"/>
                    <w:sz w:val="24"/>
                    <w:szCs w:val="24"/>
                  </w:rPr>
                  <m:t xml:space="preserve"> (γ´τ´+ τ´φ´+φ´γ</m:t>
                </m:r>
                <m:r>
                  <m:rPr>
                    <m:sty m:val="p"/>
                  </m:rPr>
                  <w:rPr>
                    <w:rFonts w:ascii="Cambria Math" w:eastAsia="MS Gothic" w:hAnsi="Cambria Math"/>
                    <w:sz w:val="24"/>
                    <w:szCs w:val="24"/>
                  </w:rPr>
                  <m:t xml:space="preserve">´) </m:t>
                </m:r>
              </m:oMath>
            </m:oMathPara>
          </w:p>
        </w:tc>
        <w:tc>
          <w:tcPr>
            <w:tcW w:w="567" w:type="dxa"/>
          </w:tcPr>
          <w:p w:rsidR="00824C5D" w:rsidRPr="007414BE" w:rsidRDefault="00824C5D" w:rsidP="00582A1A">
            <w:pPr>
              <w:spacing w:line="360" w:lineRule="auto"/>
              <w:ind w:right="-1"/>
              <w:rPr>
                <w:rFonts w:ascii="Times New Roman" w:eastAsia="MS Gothic" w:hAnsi="Times New Roman" w:cs="Times New Roman"/>
                <w:sz w:val="24"/>
                <w:szCs w:val="24"/>
              </w:rPr>
            </w:pPr>
            <w:r w:rsidRPr="007414BE">
              <w:rPr>
                <w:rFonts w:ascii="Times New Roman" w:eastAsia="MS Gothic" w:hAnsi="Times New Roman" w:cs="Times New Roman"/>
                <w:sz w:val="24"/>
                <w:szCs w:val="24"/>
              </w:rPr>
              <w:t>(11)</w:t>
            </w:r>
          </w:p>
          <w:p w:rsidR="00824C5D" w:rsidRPr="003C6E7E" w:rsidRDefault="00824C5D" w:rsidP="00582A1A">
            <w:pPr>
              <w:spacing w:line="360" w:lineRule="auto"/>
              <w:ind w:right="-1"/>
              <w:jc w:val="both"/>
            </w:pPr>
          </w:p>
        </w:tc>
      </w:tr>
    </w:tbl>
    <w:p w:rsidR="00824C5D" w:rsidRPr="00AF19D2" w:rsidRDefault="00824C5D" w:rsidP="00824C5D">
      <w:pPr>
        <w:ind w:right="-1"/>
        <w:rPr>
          <w:rFonts w:ascii="Times New Roman" w:hAnsi="Times New Roman" w:cs="Times New Roman"/>
          <w:sz w:val="24"/>
          <w:szCs w:val="24"/>
          <w:lang w:val="en-US"/>
        </w:rPr>
      </w:pPr>
    </w:p>
    <w:p w:rsidR="00824C5D" w:rsidRDefault="00824C5D" w:rsidP="00824C5D">
      <w:pPr>
        <w:spacing w:line="360" w:lineRule="auto"/>
        <w:ind w:right="-1"/>
        <w:jc w:val="both"/>
        <w:rPr>
          <w:rFonts w:ascii="Times New Roman" w:hAnsi="Times New Roman" w:cs="Times New Roman"/>
          <w:sz w:val="24"/>
          <w:szCs w:val="24"/>
          <w:lang w:val="en-US"/>
        </w:rPr>
      </w:pPr>
      <w:r>
        <w:rPr>
          <w:rFonts w:ascii="Times New Roman" w:hAnsi="Times New Roman" w:cs="Times New Roman"/>
          <w:sz w:val="24"/>
          <w:szCs w:val="24"/>
          <w:lang w:val="en-US"/>
        </w:rPr>
        <w:t>where that 0 ≤ A≤ 1</w:t>
      </w:r>
      <w:r w:rsidRPr="00F52B13">
        <w:rPr>
          <w:rFonts w:ascii="Times New Roman" w:hAnsi="Times New Roman" w:cs="Times New Roman"/>
          <w:sz w:val="24"/>
          <w:szCs w:val="24"/>
          <w:lang w:val="en-US"/>
        </w:rPr>
        <w:t>. Thus, the proposed index would have the same interp</w:t>
      </w:r>
      <w:r>
        <w:rPr>
          <w:rFonts w:ascii="Times New Roman" w:hAnsi="Times New Roman" w:cs="Times New Roman"/>
          <w:sz w:val="24"/>
          <w:szCs w:val="24"/>
          <w:lang w:val="en-US"/>
        </w:rPr>
        <w:t xml:space="preserve">retation of well- known indicator, </w:t>
      </w:r>
      <w:r w:rsidRPr="00F52B13">
        <w:rPr>
          <w:rFonts w:ascii="Times New Roman" w:hAnsi="Times New Roman" w:cs="Times New Roman"/>
          <w:sz w:val="24"/>
          <w:szCs w:val="24"/>
          <w:lang w:val="en-US"/>
        </w:rPr>
        <w:t>such as the HDI (Human Development Index), in which the best performance is 1 and the worst 0.</w:t>
      </w:r>
    </w:p>
    <w:p w:rsidR="00824C5D" w:rsidRDefault="00824C5D" w:rsidP="00824C5D">
      <w:pPr>
        <w:spacing w:after="160" w:line="259" w:lineRule="auto"/>
        <w:ind w:right="-1"/>
        <w:rPr>
          <w:rFonts w:ascii="Times New Roman" w:hAnsi="Times New Roman" w:cs="Times New Roman"/>
          <w:sz w:val="24"/>
          <w:szCs w:val="24"/>
          <w:lang w:val="en-US"/>
        </w:rPr>
      </w:pPr>
    </w:p>
    <w:p w:rsidR="00824C5D" w:rsidRPr="00AE3D6A" w:rsidRDefault="00824C5D" w:rsidP="00824C5D">
      <w:pPr>
        <w:spacing w:after="160" w:line="259" w:lineRule="auto"/>
        <w:ind w:right="-1"/>
        <w:rPr>
          <w:rFonts w:ascii="Times New Roman" w:hAnsi="Times New Roman" w:cs="Times New Roman"/>
          <w:b/>
          <w:sz w:val="24"/>
          <w:szCs w:val="24"/>
          <w:lang w:val="en-US"/>
        </w:rPr>
      </w:pPr>
      <w:r w:rsidRPr="00AE3D6A">
        <w:rPr>
          <w:rFonts w:ascii="Times New Roman" w:hAnsi="Times New Roman" w:cs="Times New Roman"/>
          <w:b/>
          <w:sz w:val="24"/>
          <w:szCs w:val="24"/>
          <w:lang w:val="en-US"/>
        </w:rPr>
        <w:t>3. Application of the Green Economy Index for Brazil</w:t>
      </w:r>
    </w:p>
    <w:p w:rsidR="00824C5D" w:rsidRDefault="00824C5D" w:rsidP="00824C5D">
      <w:pPr>
        <w:spacing w:after="160" w:line="259" w:lineRule="auto"/>
        <w:ind w:right="-1"/>
        <w:rPr>
          <w:rFonts w:ascii="Times New Roman" w:hAnsi="Times New Roman" w:cs="Times New Roman"/>
          <w:sz w:val="24"/>
          <w:szCs w:val="24"/>
          <w:lang w:val="en-US"/>
        </w:rPr>
      </w:pPr>
    </w:p>
    <w:p w:rsidR="00824C5D" w:rsidRPr="004E4611" w:rsidRDefault="00824C5D" w:rsidP="00824C5D">
      <w:pPr>
        <w:spacing w:line="360" w:lineRule="auto"/>
        <w:ind w:right="-1" w:firstLine="851"/>
        <w:jc w:val="both"/>
        <w:rPr>
          <w:lang w:val="en-US"/>
        </w:rPr>
      </w:pPr>
      <w:r>
        <w:rPr>
          <w:rFonts w:ascii="Times New Roman" w:hAnsi="Times New Roman" w:cs="Times New Roman"/>
          <w:sz w:val="24"/>
          <w:szCs w:val="24"/>
          <w:lang w:val="en-US"/>
        </w:rPr>
        <w:t>The aim of this section</w:t>
      </w:r>
      <w:r w:rsidRPr="00F52B13">
        <w:rPr>
          <w:rFonts w:ascii="Times New Roman" w:hAnsi="Times New Roman" w:cs="Times New Roman"/>
          <w:sz w:val="24"/>
          <w:szCs w:val="24"/>
          <w:lang w:val="en-US"/>
        </w:rPr>
        <w:t xml:space="preserve"> is to apply the method of the Magic Triangle to calculate the green economy index for Brazil.</w:t>
      </w:r>
      <w:r w:rsidR="00FA3EA9">
        <w:rPr>
          <w:rFonts w:ascii="Times New Roman" w:hAnsi="Times New Roman" w:cs="Times New Roman"/>
          <w:sz w:val="24"/>
          <w:szCs w:val="24"/>
          <w:lang w:val="en-US"/>
        </w:rPr>
        <w:t xml:space="preserve"> </w:t>
      </w:r>
      <w:r w:rsidRPr="00F52B13">
        <w:rPr>
          <w:rFonts w:ascii="Times New Roman" w:hAnsi="Times New Roman" w:cs="Times New Roman"/>
          <w:sz w:val="24"/>
          <w:szCs w:val="24"/>
          <w:lang w:val="en-US"/>
        </w:rPr>
        <w:t>First, the chosen variables were normalized based on the values of Table 1 and in the expressions (7) to (9).</w:t>
      </w:r>
      <w:r w:rsidRPr="00565A8B">
        <w:rPr>
          <w:rFonts w:ascii="Times New Roman" w:hAnsi="Times New Roman" w:cs="Times New Roman"/>
          <w:sz w:val="24"/>
          <w:szCs w:val="24"/>
          <w:lang w:val="en-US"/>
        </w:rPr>
        <w:t>Data from Brazil for the periods of 2000-2007 and 2008-2014 were used to establish the values of minimum and maximum per capita income (</w:t>
      </w:r>
      <w:r w:rsidRPr="00565A8B">
        <w:rPr>
          <w:rFonts w:ascii="Times New Roman" w:hAnsi="Times New Roman" w:cs="Times New Roman"/>
          <w:sz w:val="24"/>
          <w:szCs w:val="24"/>
        </w:rPr>
        <w:t>γ</w:t>
      </w:r>
      <w:r w:rsidRPr="00565A8B">
        <w:rPr>
          <w:rFonts w:ascii="Times New Roman" w:hAnsi="Times New Roman" w:cs="Times New Roman"/>
          <w:sz w:val="24"/>
          <w:szCs w:val="24"/>
          <w:lang w:val="en-US"/>
        </w:rPr>
        <w:t>), CO2 emissions (</w:t>
      </w:r>
      <w:r w:rsidRPr="00565A8B">
        <w:rPr>
          <w:rFonts w:ascii="Times New Roman" w:hAnsi="Times New Roman" w:cs="Times New Roman"/>
          <w:sz w:val="24"/>
          <w:szCs w:val="24"/>
        </w:rPr>
        <w:t>τ</w:t>
      </w:r>
      <w:r w:rsidRPr="00565A8B">
        <w:rPr>
          <w:rFonts w:ascii="Times New Roman" w:hAnsi="Times New Roman" w:cs="Times New Roman"/>
          <w:sz w:val="24"/>
          <w:szCs w:val="24"/>
          <w:lang w:val="en-US"/>
        </w:rPr>
        <w:t>) and the supply of renewable energy (</w:t>
      </w:r>
      <w:r w:rsidRPr="00565A8B">
        <w:rPr>
          <w:rFonts w:ascii="Times New Roman" w:hAnsi="Times New Roman" w:cs="Times New Roman"/>
          <w:sz w:val="24"/>
          <w:szCs w:val="24"/>
        </w:rPr>
        <w:t>φ</w:t>
      </w:r>
      <w:r w:rsidRPr="00565A8B">
        <w:rPr>
          <w:rFonts w:ascii="Times New Roman" w:hAnsi="Times New Roman" w:cs="Times New Roman"/>
          <w:sz w:val="24"/>
          <w:szCs w:val="24"/>
          <w:lang w:val="en-US"/>
        </w:rPr>
        <w:t>).</w:t>
      </w:r>
    </w:p>
    <w:p w:rsidR="00824C5D" w:rsidRPr="001D4579" w:rsidRDefault="00824C5D" w:rsidP="00824C5D">
      <w:pPr>
        <w:spacing w:before="20" w:after="20" w:line="360" w:lineRule="auto"/>
        <w:ind w:right="-1" w:firstLine="851"/>
        <w:jc w:val="both"/>
        <w:rPr>
          <w:rFonts w:ascii="Times New Roman" w:hAnsi="Times New Roman" w:cs="Times New Roman"/>
          <w:vanish/>
          <w:sz w:val="24"/>
          <w:szCs w:val="24"/>
          <w:lang w:val="en-US"/>
        </w:rPr>
      </w:pPr>
      <w:r w:rsidRPr="00C914EE">
        <w:rPr>
          <w:rFonts w:ascii="Times New Roman" w:hAnsi="Times New Roman" w:cs="Times New Roman"/>
          <w:sz w:val="24"/>
          <w:szCs w:val="24"/>
          <w:lang w:val="en-US"/>
        </w:rPr>
        <w:t>The dat</w:t>
      </w:r>
      <w:r>
        <w:rPr>
          <w:rFonts w:ascii="Times New Roman" w:hAnsi="Times New Roman" w:cs="Times New Roman"/>
          <w:sz w:val="24"/>
          <w:szCs w:val="24"/>
          <w:lang w:val="en-US"/>
        </w:rPr>
        <w:t>abase used in the present</w:t>
      </w:r>
      <w:r w:rsidRPr="00C914EE">
        <w:rPr>
          <w:rFonts w:ascii="Times New Roman" w:hAnsi="Times New Roman" w:cs="Times New Roman"/>
          <w:sz w:val="24"/>
          <w:szCs w:val="24"/>
          <w:lang w:val="en-US"/>
        </w:rPr>
        <w:t xml:space="preserve"> work was obtained through the database of the IBGE, the National Energy Balance by the Company for Research in Energy and the Overall Emissions of the NGO Observatory of the Climate</w:t>
      </w:r>
      <w:r>
        <w:rPr>
          <w:rFonts w:ascii="Times New Roman" w:hAnsi="Times New Roman" w:cs="Times New Roman"/>
          <w:sz w:val="24"/>
          <w:szCs w:val="24"/>
          <w:lang w:val="en-US"/>
        </w:rPr>
        <w:t xml:space="preserve">. </w:t>
      </w:r>
      <w:r w:rsidRPr="00C914EE">
        <w:rPr>
          <w:rFonts w:ascii="Times New Roman" w:hAnsi="Times New Roman" w:cs="Times New Roman"/>
          <w:sz w:val="24"/>
          <w:szCs w:val="24"/>
          <w:lang w:val="en-US"/>
        </w:rPr>
        <w:t>The rate of growth of per capita income (</w:t>
      </w:r>
      <w:r w:rsidRPr="00C914EE">
        <w:rPr>
          <w:rFonts w:ascii="Times New Roman" w:hAnsi="Times New Roman" w:cs="Times New Roman"/>
          <w:sz w:val="24"/>
          <w:szCs w:val="24"/>
        </w:rPr>
        <w:t>γ</w:t>
      </w:r>
      <w:r>
        <w:rPr>
          <w:rFonts w:ascii="Times New Roman" w:hAnsi="Times New Roman" w:cs="Times New Roman"/>
          <w:sz w:val="24"/>
          <w:szCs w:val="24"/>
          <w:lang w:val="en-US"/>
        </w:rPr>
        <w:t xml:space="preserve">) was considered </w:t>
      </w:r>
      <w:r w:rsidRPr="00C914EE">
        <w:rPr>
          <w:rFonts w:ascii="Times New Roman" w:hAnsi="Times New Roman" w:cs="Times New Roman"/>
          <w:sz w:val="24"/>
          <w:szCs w:val="24"/>
          <w:lang w:val="en-US"/>
        </w:rPr>
        <w:t>on constant prices.</w:t>
      </w:r>
      <w:r w:rsidR="00FA3EA9">
        <w:rPr>
          <w:rFonts w:ascii="Times New Roman" w:hAnsi="Times New Roman" w:cs="Times New Roman"/>
          <w:sz w:val="24"/>
          <w:szCs w:val="24"/>
          <w:lang w:val="en-US"/>
        </w:rPr>
        <w:t xml:space="preserve"> </w:t>
      </w:r>
      <w:r w:rsidRPr="001D4579">
        <w:rPr>
          <w:rFonts w:ascii="Times New Roman" w:hAnsi="Times New Roman" w:cs="Times New Roman"/>
          <w:vanish/>
          <w:sz w:val="24"/>
          <w:szCs w:val="24"/>
          <w:lang w:val="en-US"/>
        </w:rPr>
        <w:t>Parte superior do formulário</w:t>
      </w:r>
    </w:p>
    <w:p w:rsidR="00824C5D" w:rsidRPr="001D4579" w:rsidRDefault="00824C5D" w:rsidP="00824C5D">
      <w:pPr>
        <w:spacing w:before="20" w:after="20" w:line="360" w:lineRule="auto"/>
        <w:ind w:right="-1" w:firstLine="851"/>
        <w:jc w:val="both"/>
        <w:rPr>
          <w:rFonts w:ascii="Times New Roman" w:hAnsi="Times New Roman" w:cs="Times New Roman"/>
          <w:sz w:val="24"/>
          <w:szCs w:val="24"/>
          <w:lang w:val="en-US"/>
        </w:rPr>
      </w:pPr>
      <w:r w:rsidRPr="00C914EE">
        <w:rPr>
          <w:rFonts w:ascii="Times New Roman" w:hAnsi="Times New Roman" w:cs="Times New Roman"/>
          <w:sz w:val="24"/>
          <w:szCs w:val="24"/>
          <w:lang w:val="en-US"/>
        </w:rPr>
        <w:t xml:space="preserve">For all variables, it was calculated the average growth rate based on absolute figures available in the databases. </w:t>
      </w:r>
      <w:r w:rsidRPr="001D4579">
        <w:rPr>
          <w:rFonts w:ascii="Times New Roman" w:hAnsi="Times New Roman" w:cs="Times New Roman"/>
          <w:sz w:val="24"/>
          <w:szCs w:val="24"/>
          <w:lang w:val="en-US"/>
        </w:rPr>
        <w:t>Table 1 presents those data.</w:t>
      </w:r>
    </w:p>
    <w:p w:rsidR="00824C5D" w:rsidRPr="00C914EE" w:rsidRDefault="00824C5D" w:rsidP="00824C5D">
      <w:pPr>
        <w:spacing w:before="240" w:after="20"/>
        <w:ind w:right="-1"/>
        <w:jc w:val="both"/>
        <w:rPr>
          <w:rFonts w:ascii="Times New Roman" w:hAnsi="Times New Roman" w:cs="Times New Roman"/>
          <w:vanish/>
          <w:sz w:val="24"/>
          <w:szCs w:val="24"/>
        </w:rPr>
      </w:pPr>
      <w:r w:rsidRPr="00C914EE">
        <w:rPr>
          <w:rFonts w:ascii="Times New Roman" w:hAnsi="Times New Roman" w:cs="Times New Roman"/>
          <w:vanish/>
          <w:sz w:val="24"/>
          <w:szCs w:val="24"/>
        </w:rPr>
        <w:t>Parte inferior do formulário</w:t>
      </w:r>
    </w:p>
    <w:tbl>
      <w:tblPr>
        <w:tblW w:w="4920" w:type="dxa"/>
        <w:jc w:val="center"/>
        <w:tblCellMar>
          <w:left w:w="70" w:type="dxa"/>
          <w:right w:w="70" w:type="dxa"/>
        </w:tblCellMar>
        <w:tblLook w:val="04A0" w:firstRow="1" w:lastRow="0" w:firstColumn="1" w:lastColumn="0" w:noHBand="0" w:noVBand="1"/>
      </w:tblPr>
      <w:tblGrid>
        <w:gridCol w:w="960"/>
        <w:gridCol w:w="1300"/>
        <w:gridCol w:w="1180"/>
        <w:gridCol w:w="1480"/>
      </w:tblGrid>
      <w:tr w:rsidR="00824C5D" w:rsidRPr="00902BCA" w:rsidTr="00582A1A">
        <w:trPr>
          <w:trHeight w:val="300"/>
          <w:jc w:val="center"/>
        </w:trPr>
        <w:tc>
          <w:tcPr>
            <w:tcW w:w="4920" w:type="dxa"/>
            <w:gridSpan w:val="4"/>
            <w:vMerge w:val="restart"/>
            <w:tcBorders>
              <w:top w:val="nil"/>
              <w:left w:val="nil"/>
              <w:bottom w:val="single" w:sz="4" w:space="0" w:color="000000"/>
              <w:right w:val="nil"/>
            </w:tcBorders>
            <w:shd w:val="clear" w:color="auto" w:fill="auto"/>
            <w:vAlign w:val="center"/>
            <w:hideMark/>
          </w:tcPr>
          <w:p w:rsidR="00824C5D" w:rsidRPr="001D4579" w:rsidRDefault="00824C5D" w:rsidP="00582A1A">
            <w:pPr>
              <w:ind w:right="-1"/>
              <w:jc w:val="center"/>
              <w:rPr>
                <w:rFonts w:ascii="Times New Roman" w:eastAsia="Times New Roman" w:hAnsi="Times New Roman" w:cs="Times New Roman"/>
                <w:b/>
                <w:bCs/>
                <w:color w:val="000000"/>
                <w:sz w:val="24"/>
                <w:szCs w:val="24"/>
                <w:lang w:val="en-US"/>
              </w:rPr>
            </w:pPr>
            <w:r w:rsidRPr="001D4579">
              <w:rPr>
                <w:rFonts w:ascii="Times New Roman" w:eastAsia="Times New Roman" w:hAnsi="Times New Roman" w:cs="Times New Roman"/>
                <w:b/>
                <w:bCs/>
                <w:color w:val="000000"/>
                <w:sz w:val="24"/>
                <w:szCs w:val="24"/>
                <w:lang w:val="en-US"/>
              </w:rPr>
              <w:t xml:space="preserve">Table 1- </w:t>
            </w:r>
            <w:r w:rsidRPr="001D4579">
              <w:rPr>
                <w:rFonts w:ascii="Times New Roman" w:eastAsia="Times New Roman" w:hAnsi="Times New Roman" w:cs="Times New Roman"/>
                <w:color w:val="000000"/>
                <w:sz w:val="24"/>
                <w:szCs w:val="24"/>
                <w:lang w:val="en-US"/>
              </w:rPr>
              <w:t>The rage of change of green variables (%)</w:t>
            </w:r>
          </w:p>
        </w:tc>
      </w:tr>
      <w:tr w:rsidR="00824C5D" w:rsidRPr="00902BCA" w:rsidTr="00582A1A">
        <w:trPr>
          <w:trHeight w:val="423"/>
          <w:jc w:val="center"/>
        </w:trPr>
        <w:tc>
          <w:tcPr>
            <w:tcW w:w="4920" w:type="dxa"/>
            <w:gridSpan w:val="4"/>
            <w:vMerge/>
            <w:tcBorders>
              <w:top w:val="nil"/>
              <w:left w:val="nil"/>
              <w:bottom w:val="single" w:sz="4" w:space="0" w:color="000000"/>
              <w:right w:val="nil"/>
            </w:tcBorders>
            <w:vAlign w:val="center"/>
            <w:hideMark/>
          </w:tcPr>
          <w:p w:rsidR="00824C5D" w:rsidRPr="001D4579" w:rsidRDefault="00824C5D" w:rsidP="00582A1A">
            <w:pPr>
              <w:ind w:right="-1"/>
              <w:rPr>
                <w:rFonts w:ascii="Times New Roman" w:eastAsia="Times New Roman" w:hAnsi="Times New Roman" w:cs="Times New Roman"/>
                <w:b/>
                <w:bCs/>
                <w:color w:val="000000"/>
                <w:sz w:val="24"/>
                <w:szCs w:val="24"/>
                <w:lang w:val="en-US"/>
              </w:rPr>
            </w:pPr>
          </w:p>
        </w:tc>
      </w:tr>
      <w:tr w:rsidR="00824C5D" w:rsidRPr="00902BCA" w:rsidTr="00582A1A">
        <w:trPr>
          <w:trHeight w:val="945"/>
          <w:jc w:val="center"/>
        </w:trPr>
        <w:tc>
          <w:tcPr>
            <w:tcW w:w="960" w:type="dxa"/>
            <w:tcBorders>
              <w:top w:val="single" w:sz="4" w:space="0" w:color="auto"/>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Period</w:t>
            </w:r>
          </w:p>
        </w:tc>
        <w:tc>
          <w:tcPr>
            <w:tcW w:w="1300" w:type="dxa"/>
            <w:tcBorders>
              <w:top w:val="single" w:sz="4" w:space="0" w:color="auto"/>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r w:rsidR="00582A1A">
              <w:rPr>
                <w:rFonts w:ascii="Times New Roman" w:eastAsia="Times New Roman" w:hAnsi="Times New Roman" w:cs="Times New Roman"/>
                <w:sz w:val="24"/>
                <w:szCs w:val="24"/>
              </w:rPr>
              <w:t xml:space="preserve"> </w:t>
            </w:r>
            <w:r w:rsidRPr="003C6E7E">
              <w:rPr>
                <w:rFonts w:ascii="Times New Roman" w:eastAsia="Times New Roman" w:hAnsi="Times New Roman" w:cs="Times New Roman"/>
                <w:i/>
                <w:iCs/>
                <w:sz w:val="24"/>
                <w:szCs w:val="24"/>
              </w:rPr>
              <w:t>per capita</w:t>
            </w:r>
            <w:r w:rsidRPr="003C6E7E">
              <w:rPr>
                <w:rFonts w:ascii="Times New Roman" w:eastAsia="Times New Roman" w:hAnsi="Times New Roman" w:cs="Times New Roman"/>
                <w:sz w:val="24"/>
                <w:szCs w:val="24"/>
              </w:rPr>
              <w:t>(γ)</w:t>
            </w:r>
          </w:p>
        </w:tc>
        <w:tc>
          <w:tcPr>
            <w:tcW w:w="1180" w:type="dxa"/>
            <w:tcBorders>
              <w:top w:val="single" w:sz="4" w:space="0" w:color="auto"/>
              <w:left w:val="nil"/>
              <w:bottom w:val="nil"/>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CO2</w:t>
            </w:r>
            <w:r w:rsidR="00582A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emission</w:t>
            </w:r>
            <w:r w:rsidRPr="003C6E7E">
              <w:rPr>
                <w:rFonts w:ascii="Times New Roman" w:eastAsia="Times New Roman" w:hAnsi="Times New Roman" w:cs="Times New Roman"/>
                <w:sz w:val="24"/>
                <w:szCs w:val="24"/>
              </w:rPr>
              <w:t xml:space="preserve"> (τ)</w:t>
            </w:r>
          </w:p>
        </w:tc>
        <w:tc>
          <w:tcPr>
            <w:tcW w:w="1480" w:type="dxa"/>
            <w:tcBorders>
              <w:top w:val="single" w:sz="4" w:space="0" w:color="auto"/>
              <w:left w:val="nil"/>
              <w:bottom w:val="single" w:sz="4" w:space="0" w:color="auto"/>
              <w:right w:val="nil"/>
            </w:tcBorders>
            <w:shd w:val="clear" w:color="auto" w:fill="auto"/>
            <w:vAlign w:val="center"/>
            <w:hideMark/>
          </w:tcPr>
          <w:p w:rsidR="00824C5D" w:rsidRPr="001D4579" w:rsidRDefault="00824C5D" w:rsidP="00582A1A">
            <w:pPr>
              <w:ind w:right="-1"/>
              <w:jc w:val="center"/>
              <w:rPr>
                <w:rFonts w:ascii="Times New Roman" w:eastAsia="Times New Roman" w:hAnsi="Times New Roman" w:cs="Times New Roman"/>
                <w:sz w:val="24"/>
                <w:szCs w:val="24"/>
                <w:lang w:val="en-US"/>
              </w:rPr>
            </w:pPr>
            <w:r w:rsidRPr="001D4579">
              <w:rPr>
                <w:rFonts w:ascii="Times New Roman" w:eastAsia="Times New Roman" w:hAnsi="Times New Roman" w:cs="Times New Roman"/>
                <w:sz w:val="24"/>
                <w:szCs w:val="24"/>
                <w:lang w:val="en-US"/>
              </w:rPr>
              <w:t>Supply of renewable energy (</w:t>
            </w:r>
            <w:r w:rsidRPr="003C6E7E">
              <w:rPr>
                <w:rFonts w:eastAsia="Times New Roman" w:cs="Calibri"/>
                <w:sz w:val="24"/>
                <w:szCs w:val="24"/>
              </w:rPr>
              <w:t>ϕ</w:t>
            </w:r>
            <w:r w:rsidRPr="001D4579">
              <w:rPr>
                <w:rFonts w:ascii="Times New Roman" w:eastAsia="Times New Roman" w:hAnsi="Times New Roman" w:cs="Times New Roman"/>
                <w:sz w:val="24"/>
                <w:szCs w:val="24"/>
                <w:lang w:val="en-US"/>
              </w:rPr>
              <w:t>)</w:t>
            </w:r>
          </w:p>
        </w:tc>
      </w:tr>
      <w:tr w:rsidR="00824C5D" w:rsidRPr="003C6E7E" w:rsidTr="00582A1A">
        <w:trPr>
          <w:trHeight w:val="315"/>
          <w:jc w:val="center"/>
        </w:trPr>
        <w:tc>
          <w:tcPr>
            <w:tcW w:w="960" w:type="dxa"/>
            <w:tcBorders>
              <w:top w:val="nil"/>
              <w:left w:val="nil"/>
              <w:bottom w:val="nil"/>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2001-07</w:t>
            </w:r>
          </w:p>
        </w:tc>
        <w:tc>
          <w:tcPr>
            <w:tcW w:w="1300"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C6E7E">
              <w:rPr>
                <w:rFonts w:ascii="Times New Roman" w:eastAsia="Times New Roman" w:hAnsi="Times New Roman" w:cs="Times New Roman"/>
                <w:sz w:val="24"/>
                <w:szCs w:val="24"/>
              </w:rPr>
              <w:t>96</w:t>
            </w:r>
          </w:p>
        </w:tc>
        <w:tc>
          <w:tcPr>
            <w:tcW w:w="1180"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C6E7E">
              <w:rPr>
                <w:rFonts w:ascii="Times New Roman" w:eastAsia="Times New Roman" w:hAnsi="Times New Roman" w:cs="Times New Roman"/>
                <w:sz w:val="24"/>
                <w:szCs w:val="24"/>
              </w:rPr>
              <w:t>33</w:t>
            </w:r>
          </w:p>
        </w:tc>
        <w:tc>
          <w:tcPr>
            <w:tcW w:w="1480" w:type="dxa"/>
            <w:tcBorders>
              <w:top w:val="nil"/>
              <w:left w:val="nil"/>
              <w:bottom w:val="nil"/>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3C6E7E">
              <w:rPr>
                <w:rFonts w:ascii="Times New Roman" w:eastAsia="Times New Roman" w:hAnsi="Times New Roman" w:cs="Times New Roman"/>
                <w:color w:val="000000"/>
                <w:sz w:val="24"/>
                <w:szCs w:val="24"/>
              </w:rPr>
              <w:t>68</w:t>
            </w:r>
          </w:p>
        </w:tc>
      </w:tr>
      <w:tr w:rsidR="00824C5D" w:rsidRPr="003C6E7E" w:rsidTr="00582A1A">
        <w:trPr>
          <w:trHeight w:val="315"/>
          <w:jc w:val="center"/>
        </w:trPr>
        <w:tc>
          <w:tcPr>
            <w:tcW w:w="960" w:type="dxa"/>
            <w:tcBorders>
              <w:top w:val="nil"/>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2008-14</w:t>
            </w:r>
          </w:p>
        </w:tc>
        <w:tc>
          <w:tcPr>
            <w:tcW w:w="130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C6E7E">
              <w:rPr>
                <w:rFonts w:ascii="Times New Roman" w:eastAsia="Times New Roman" w:hAnsi="Times New Roman" w:cs="Times New Roman"/>
                <w:sz w:val="24"/>
                <w:szCs w:val="24"/>
              </w:rPr>
              <w:t>64</w:t>
            </w:r>
          </w:p>
        </w:tc>
        <w:tc>
          <w:tcPr>
            <w:tcW w:w="118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C6E7E">
              <w:rPr>
                <w:rFonts w:ascii="Times New Roman" w:eastAsia="Times New Roman" w:hAnsi="Times New Roman" w:cs="Times New Roman"/>
                <w:sz w:val="24"/>
                <w:szCs w:val="24"/>
              </w:rPr>
              <w:t>31</w:t>
            </w:r>
          </w:p>
        </w:tc>
        <w:tc>
          <w:tcPr>
            <w:tcW w:w="1480" w:type="dxa"/>
            <w:tcBorders>
              <w:top w:val="nil"/>
              <w:left w:val="nil"/>
              <w:bottom w:val="single" w:sz="4" w:space="0" w:color="auto"/>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3C6E7E">
              <w:rPr>
                <w:rFonts w:ascii="Times New Roman" w:eastAsia="Times New Roman" w:hAnsi="Times New Roman" w:cs="Times New Roman"/>
                <w:color w:val="000000"/>
                <w:sz w:val="24"/>
                <w:szCs w:val="24"/>
              </w:rPr>
              <w:t>01</w:t>
            </w:r>
          </w:p>
        </w:tc>
      </w:tr>
    </w:tbl>
    <w:p w:rsidR="00824C5D" w:rsidRDefault="00824C5D" w:rsidP="00824C5D">
      <w:pPr>
        <w:spacing w:before="40" w:after="40"/>
        <w:ind w:left="851" w:right="-1"/>
        <w:jc w:val="both"/>
        <w:rPr>
          <w:lang w:val="en-US"/>
        </w:rPr>
      </w:pPr>
      <w:r w:rsidRPr="007D51C6">
        <w:rPr>
          <w:rFonts w:ascii="Times New Roman" w:hAnsi="Times New Roman" w:cs="Times New Roman"/>
          <w:lang w:val="en-US"/>
        </w:rPr>
        <w:t xml:space="preserve">         Source: IBGE, Company for Research in Energy</w:t>
      </w:r>
      <w:r>
        <w:rPr>
          <w:rFonts w:ascii="Times New Roman" w:hAnsi="Times New Roman" w:cs="Times New Roman"/>
          <w:lang w:val="en-US"/>
        </w:rPr>
        <w:t>, Observatory of Climate</w:t>
      </w:r>
      <w:r w:rsidRPr="007D51C6">
        <w:rPr>
          <w:rFonts w:ascii="Times New Roman" w:hAnsi="Times New Roman" w:cs="Times New Roman"/>
          <w:lang w:val="en-US"/>
        </w:rPr>
        <w:t>.</w:t>
      </w:r>
    </w:p>
    <w:p w:rsidR="00824C5D" w:rsidRPr="004E4611" w:rsidRDefault="00824C5D" w:rsidP="00824C5D">
      <w:pPr>
        <w:spacing w:line="360" w:lineRule="auto"/>
        <w:ind w:right="-1" w:firstLine="851"/>
        <w:jc w:val="both"/>
        <w:rPr>
          <w:sz w:val="24"/>
          <w:szCs w:val="24"/>
          <w:lang w:val="en-US"/>
        </w:rPr>
      </w:pPr>
    </w:p>
    <w:p w:rsidR="00824C5D" w:rsidRPr="00F52B13" w:rsidRDefault="00824C5D" w:rsidP="00824C5D">
      <w:pPr>
        <w:spacing w:line="360" w:lineRule="auto"/>
        <w:ind w:right="-1" w:firstLine="851"/>
        <w:jc w:val="both"/>
        <w:rPr>
          <w:rFonts w:ascii="Times New Roman" w:hAnsi="Times New Roman" w:cs="Times New Roman"/>
          <w:sz w:val="24"/>
          <w:szCs w:val="24"/>
          <w:lang w:val="en-US"/>
        </w:rPr>
      </w:pPr>
      <w:r w:rsidRPr="00F52B13">
        <w:rPr>
          <w:rFonts w:ascii="Times New Roman" w:hAnsi="Times New Roman" w:cs="Times New Roman"/>
          <w:sz w:val="24"/>
          <w:szCs w:val="24"/>
          <w:lang w:val="en-US"/>
        </w:rPr>
        <w:t>With the da</w:t>
      </w:r>
      <w:r>
        <w:rPr>
          <w:rFonts w:ascii="Times New Roman" w:hAnsi="Times New Roman" w:cs="Times New Roman"/>
          <w:sz w:val="24"/>
          <w:szCs w:val="24"/>
          <w:lang w:val="en-US"/>
        </w:rPr>
        <w:t>ta contained in Table 2, it is possible</w:t>
      </w:r>
      <w:r w:rsidRPr="00F52B13">
        <w:rPr>
          <w:rFonts w:ascii="Times New Roman" w:hAnsi="Times New Roman" w:cs="Times New Roman"/>
          <w:sz w:val="24"/>
          <w:szCs w:val="24"/>
          <w:lang w:val="en-US"/>
        </w:rPr>
        <w:t xml:space="preserve"> calculate the area of the Magic Triangle,</w:t>
      </w:r>
      <w:r>
        <w:rPr>
          <w:rFonts w:ascii="Times New Roman" w:hAnsi="Times New Roman" w:cs="Times New Roman"/>
          <w:sz w:val="24"/>
          <w:szCs w:val="24"/>
          <w:lang w:val="en-US"/>
        </w:rPr>
        <w:t xml:space="preserve"> Table 3,</w:t>
      </w:r>
      <w:r w:rsidRPr="00F52B13">
        <w:rPr>
          <w:rFonts w:ascii="Times New Roman" w:hAnsi="Times New Roman" w:cs="Times New Roman"/>
          <w:sz w:val="24"/>
          <w:szCs w:val="24"/>
          <w:lang w:val="en-US"/>
        </w:rPr>
        <w:t xml:space="preserve"> which corresponds to the value of the green econo</w:t>
      </w:r>
      <w:r>
        <w:rPr>
          <w:rFonts w:ascii="Times New Roman" w:hAnsi="Times New Roman" w:cs="Times New Roman"/>
          <w:sz w:val="24"/>
          <w:szCs w:val="24"/>
          <w:lang w:val="en-US"/>
        </w:rPr>
        <w:t>my index in B</w:t>
      </w:r>
      <w:r w:rsidRPr="00F52B13">
        <w:rPr>
          <w:rFonts w:ascii="Times New Roman" w:hAnsi="Times New Roman" w:cs="Times New Roman"/>
          <w:sz w:val="24"/>
          <w:szCs w:val="24"/>
          <w:lang w:val="en-US"/>
        </w:rPr>
        <w:t>razil.</w:t>
      </w:r>
    </w:p>
    <w:tbl>
      <w:tblPr>
        <w:tblW w:w="5940" w:type="dxa"/>
        <w:jc w:val="center"/>
        <w:tblCellMar>
          <w:left w:w="70" w:type="dxa"/>
          <w:right w:w="70" w:type="dxa"/>
        </w:tblCellMar>
        <w:tblLook w:val="04A0" w:firstRow="1" w:lastRow="0" w:firstColumn="1" w:lastColumn="0" w:noHBand="0" w:noVBand="1"/>
      </w:tblPr>
      <w:tblGrid>
        <w:gridCol w:w="960"/>
        <w:gridCol w:w="1240"/>
        <w:gridCol w:w="1340"/>
        <w:gridCol w:w="1440"/>
        <w:gridCol w:w="960"/>
      </w:tblGrid>
      <w:tr w:rsidR="00824C5D" w:rsidRPr="003C6E7E" w:rsidTr="00582A1A">
        <w:trPr>
          <w:trHeight w:val="300"/>
          <w:jc w:val="center"/>
        </w:trPr>
        <w:tc>
          <w:tcPr>
            <w:tcW w:w="5940" w:type="dxa"/>
            <w:gridSpan w:val="5"/>
            <w:vMerge w:val="restart"/>
            <w:tcBorders>
              <w:top w:val="nil"/>
              <w:left w:val="nil"/>
              <w:bottom w:val="single" w:sz="4" w:space="0" w:color="000000"/>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2- Normalized</w:t>
            </w:r>
            <w:r w:rsidR="00FA3EA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Variables</w:t>
            </w:r>
          </w:p>
        </w:tc>
      </w:tr>
      <w:tr w:rsidR="00824C5D" w:rsidRPr="003C6E7E" w:rsidTr="00582A1A">
        <w:trPr>
          <w:trHeight w:val="423"/>
          <w:jc w:val="center"/>
        </w:trPr>
        <w:tc>
          <w:tcPr>
            <w:tcW w:w="5940" w:type="dxa"/>
            <w:gridSpan w:val="5"/>
            <w:vMerge/>
            <w:tcBorders>
              <w:top w:val="nil"/>
              <w:left w:val="nil"/>
              <w:bottom w:val="single" w:sz="4" w:space="0" w:color="000000"/>
              <w:right w:val="nil"/>
            </w:tcBorders>
            <w:vAlign w:val="center"/>
            <w:hideMark/>
          </w:tcPr>
          <w:p w:rsidR="00824C5D" w:rsidRPr="003C6E7E" w:rsidRDefault="00824C5D" w:rsidP="00582A1A">
            <w:pPr>
              <w:ind w:right="-1"/>
              <w:rPr>
                <w:rFonts w:ascii="Times New Roman" w:eastAsia="Times New Roman" w:hAnsi="Times New Roman" w:cs="Times New Roman"/>
                <w:b/>
                <w:bCs/>
                <w:color w:val="000000"/>
                <w:sz w:val="24"/>
                <w:szCs w:val="24"/>
              </w:rPr>
            </w:pPr>
          </w:p>
        </w:tc>
      </w:tr>
      <w:tr w:rsidR="00824C5D" w:rsidRPr="003C6E7E" w:rsidTr="00582A1A">
        <w:trPr>
          <w:trHeight w:val="945"/>
          <w:jc w:val="center"/>
        </w:trPr>
        <w:tc>
          <w:tcPr>
            <w:tcW w:w="960" w:type="dxa"/>
            <w:tcBorders>
              <w:top w:val="single" w:sz="4" w:space="0" w:color="auto"/>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Period</w:t>
            </w:r>
          </w:p>
        </w:tc>
        <w:tc>
          <w:tcPr>
            <w:tcW w:w="1240" w:type="dxa"/>
            <w:tcBorders>
              <w:top w:val="single" w:sz="4" w:space="0" w:color="auto"/>
              <w:left w:val="nil"/>
              <w:bottom w:val="single" w:sz="4" w:space="0" w:color="auto"/>
              <w:right w:val="nil"/>
            </w:tcBorders>
            <w:shd w:val="clear" w:color="auto" w:fill="auto"/>
            <w:vAlign w:val="center"/>
            <w:hideMark/>
          </w:tcPr>
          <w:p w:rsidR="00824C5D" w:rsidRPr="003C6E7E" w:rsidRDefault="00824C5D" w:rsidP="00582A1A">
            <w:pPr>
              <w:ind w:right="-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w:t>
            </w:r>
            <w:r w:rsidRPr="003C6E7E">
              <w:rPr>
                <w:rFonts w:ascii="Times New Roman" w:eastAsia="Times New Roman" w:hAnsi="Times New Roman" w:cs="Times New Roman"/>
                <w:i/>
                <w:iCs/>
                <w:sz w:val="24"/>
                <w:szCs w:val="24"/>
              </w:rPr>
              <w:t>er capita</w:t>
            </w:r>
            <w:r w:rsidR="00582A1A">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income</w:t>
            </w:r>
            <w:r w:rsidRPr="003C6E7E">
              <w:rPr>
                <w:rFonts w:ascii="Times New Roman" w:eastAsia="Times New Roman" w:hAnsi="Times New Roman" w:cs="Times New Roman"/>
                <w:sz w:val="24"/>
                <w:szCs w:val="24"/>
              </w:rPr>
              <w:t>(γ)</w:t>
            </w:r>
          </w:p>
        </w:tc>
        <w:tc>
          <w:tcPr>
            <w:tcW w:w="1340" w:type="dxa"/>
            <w:tcBorders>
              <w:top w:val="single" w:sz="4" w:space="0" w:color="auto"/>
              <w:left w:val="nil"/>
              <w:bottom w:val="nil"/>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CO2</w:t>
            </w:r>
            <w:r w:rsidR="00582A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emissions</w:t>
            </w:r>
            <w:r w:rsidRPr="003C6E7E">
              <w:rPr>
                <w:rFonts w:ascii="Times New Roman" w:eastAsia="Times New Roman" w:hAnsi="Times New Roman" w:cs="Times New Roman"/>
                <w:sz w:val="24"/>
                <w:szCs w:val="24"/>
              </w:rPr>
              <w:t xml:space="preserve"> (τ)</w:t>
            </w:r>
          </w:p>
        </w:tc>
        <w:tc>
          <w:tcPr>
            <w:tcW w:w="1440" w:type="dxa"/>
            <w:tcBorders>
              <w:top w:val="single" w:sz="4" w:space="0" w:color="auto"/>
              <w:left w:val="nil"/>
              <w:bottom w:val="single" w:sz="4" w:space="0" w:color="auto"/>
              <w:right w:val="nil"/>
            </w:tcBorders>
            <w:shd w:val="clear" w:color="auto" w:fill="auto"/>
            <w:vAlign w:val="center"/>
            <w:hideMark/>
          </w:tcPr>
          <w:p w:rsidR="00824C5D" w:rsidRPr="00AE3D6A" w:rsidRDefault="00824C5D" w:rsidP="00582A1A">
            <w:pPr>
              <w:ind w:right="-1"/>
              <w:jc w:val="center"/>
              <w:rPr>
                <w:rFonts w:ascii="Times New Roman" w:eastAsia="Times New Roman" w:hAnsi="Times New Roman" w:cs="Times New Roman"/>
                <w:sz w:val="24"/>
                <w:szCs w:val="24"/>
                <w:lang w:val="en-US"/>
              </w:rPr>
            </w:pPr>
            <w:r w:rsidRPr="00AE3D6A">
              <w:rPr>
                <w:rFonts w:ascii="Times New Roman" w:eastAsia="Times New Roman" w:hAnsi="Times New Roman" w:cs="Times New Roman"/>
                <w:sz w:val="24"/>
                <w:szCs w:val="24"/>
                <w:lang w:val="en-US"/>
              </w:rPr>
              <w:t>Sypply of renewable energy (</w:t>
            </w:r>
            <w:r w:rsidRPr="003C6E7E">
              <w:rPr>
                <w:rFonts w:eastAsia="Times New Roman" w:cs="Calibri"/>
                <w:sz w:val="24"/>
                <w:szCs w:val="24"/>
              </w:rPr>
              <w:t>ϕ</w:t>
            </w:r>
            <w:r w:rsidRPr="00AE3D6A">
              <w:rPr>
                <w:rFonts w:ascii="Times New Roman" w:eastAsia="Times New Roman" w:hAnsi="Times New Roman" w:cs="Times New Roman"/>
                <w:sz w:val="24"/>
                <w:szCs w:val="24"/>
                <w:lang w:val="en-US"/>
              </w:rPr>
              <w:t>)</w:t>
            </w:r>
          </w:p>
        </w:tc>
        <w:tc>
          <w:tcPr>
            <w:tcW w:w="960" w:type="dxa"/>
            <w:tcBorders>
              <w:top w:val="single" w:sz="4" w:space="0" w:color="auto"/>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Ideal</w:t>
            </w:r>
          </w:p>
        </w:tc>
      </w:tr>
      <w:tr w:rsidR="00824C5D" w:rsidRPr="003C6E7E" w:rsidTr="00582A1A">
        <w:trPr>
          <w:trHeight w:val="315"/>
          <w:jc w:val="center"/>
        </w:trPr>
        <w:tc>
          <w:tcPr>
            <w:tcW w:w="960" w:type="dxa"/>
            <w:tcBorders>
              <w:top w:val="nil"/>
              <w:left w:val="nil"/>
              <w:bottom w:val="nil"/>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2001-07</w:t>
            </w:r>
          </w:p>
        </w:tc>
        <w:tc>
          <w:tcPr>
            <w:tcW w:w="1240"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487</w:t>
            </w:r>
          </w:p>
        </w:tc>
        <w:tc>
          <w:tcPr>
            <w:tcW w:w="1340"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445</w:t>
            </w:r>
          </w:p>
        </w:tc>
        <w:tc>
          <w:tcPr>
            <w:tcW w:w="1440" w:type="dxa"/>
            <w:tcBorders>
              <w:top w:val="nil"/>
              <w:left w:val="nil"/>
              <w:bottom w:val="nil"/>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3C6E7E">
              <w:rPr>
                <w:rFonts w:ascii="Times New Roman" w:eastAsia="Times New Roman" w:hAnsi="Times New Roman" w:cs="Times New Roman"/>
                <w:color w:val="000000"/>
                <w:sz w:val="24"/>
                <w:szCs w:val="24"/>
              </w:rPr>
              <w:t>446</w:t>
            </w:r>
          </w:p>
        </w:tc>
        <w:tc>
          <w:tcPr>
            <w:tcW w:w="960" w:type="dxa"/>
            <w:tcBorders>
              <w:top w:val="nil"/>
              <w:left w:val="nil"/>
              <w:bottom w:val="nil"/>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3C6E7E">
              <w:rPr>
                <w:rFonts w:ascii="Times New Roman" w:eastAsia="Times New Roman" w:hAnsi="Times New Roman" w:cs="Times New Roman"/>
                <w:color w:val="000000"/>
                <w:sz w:val="24"/>
                <w:szCs w:val="24"/>
              </w:rPr>
              <w:t>877</w:t>
            </w:r>
          </w:p>
        </w:tc>
      </w:tr>
      <w:tr w:rsidR="00824C5D" w:rsidRPr="003C6E7E" w:rsidTr="00582A1A">
        <w:trPr>
          <w:trHeight w:val="315"/>
          <w:jc w:val="center"/>
        </w:trPr>
        <w:tc>
          <w:tcPr>
            <w:tcW w:w="960" w:type="dxa"/>
            <w:tcBorders>
              <w:top w:val="nil"/>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2008-14</w:t>
            </w:r>
          </w:p>
        </w:tc>
        <w:tc>
          <w:tcPr>
            <w:tcW w:w="124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481</w:t>
            </w:r>
          </w:p>
        </w:tc>
        <w:tc>
          <w:tcPr>
            <w:tcW w:w="134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449</w:t>
            </w:r>
          </w:p>
        </w:tc>
        <w:tc>
          <w:tcPr>
            <w:tcW w:w="1440" w:type="dxa"/>
            <w:tcBorders>
              <w:top w:val="nil"/>
              <w:left w:val="nil"/>
              <w:bottom w:val="single" w:sz="4" w:space="0" w:color="auto"/>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3C6E7E">
              <w:rPr>
                <w:rFonts w:ascii="Times New Roman" w:eastAsia="Times New Roman" w:hAnsi="Times New Roman" w:cs="Times New Roman"/>
                <w:color w:val="000000"/>
                <w:sz w:val="24"/>
                <w:szCs w:val="24"/>
              </w:rPr>
              <w:t>430</w:t>
            </w:r>
          </w:p>
        </w:tc>
        <w:tc>
          <w:tcPr>
            <w:tcW w:w="960" w:type="dxa"/>
            <w:tcBorders>
              <w:top w:val="nil"/>
              <w:left w:val="nil"/>
              <w:bottom w:val="single" w:sz="4" w:space="0" w:color="auto"/>
              <w:right w:val="nil"/>
            </w:tcBorders>
            <w:shd w:val="clear" w:color="auto" w:fill="auto"/>
            <w:noWrap/>
            <w:vAlign w:val="bottom"/>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3C6E7E">
              <w:rPr>
                <w:rFonts w:ascii="Times New Roman" w:eastAsia="Times New Roman" w:hAnsi="Times New Roman" w:cs="Times New Roman"/>
                <w:color w:val="000000"/>
                <w:sz w:val="24"/>
                <w:szCs w:val="24"/>
              </w:rPr>
              <w:t>877</w:t>
            </w:r>
          </w:p>
        </w:tc>
      </w:tr>
    </w:tbl>
    <w:p w:rsidR="00824C5D" w:rsidRPr="007D51C6" w:rsidRDefault="00582A1A" w:rsidP="00824C5D">
      <w:pPr>
        <w:spacing w:line="360" w:lineRule="auto"/>
        <w:ind w:right="-1" w:firstLine="709"/>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824C5D" w:rsidRPr="007D51C6">
        <w:rPr>
          <w:rFonts w:ascii="Times New Roman" w:eastAsia="Times New Roman" w:hAnsi="Times New Roman" w:cs="Times New Roman"/>
          <w:lang w:val="en-US"/>
        </w:rPr>
        <w:t>Source: elaborated by the authors.</w:t>
      </w:r>
    </w:p>
    <w:p w:rsidR="00824C5D" w:rsidRDefault="00824C5D" w:rsidP="00824C5D">
      <w:pPr>
        <w:spacing w:after="160" w:line="259" w:lineRule="auto"/>
        <w:ind w:right="-1"/>
        <w:rPr>
          <w:rFonts w:ascii="Times New Roman" w:hAnsi="Times New Roman" w:cs="Times New Roman"/>
          <w:sz w:val="24"/>
          <w:szCs w:val="24"/>
          <w:lang w:val="en-US"/>
        </w:rPr>
      </w:pPr>
    </w:p>
    <w:tbl>
      <w:tblPr>
        <w:tblW w:w="4460" w:type="dxa"/>
        <w:jc w:val="center"/>
        <w:tblCellMar>
          <w:left w:w="70" w:type="dxa"/>
          <w:right w:w="70" w:type="dxa"/>
        </w:tblCellMar>
        <w:tblLook w:val="04A0" w:firstRow="1" w:lastRow="0" w:firstColumn="1" w:lastColumn="0" w:noHBand="0" w:noVBand="1"/>
      </w:tblPr>
      <w:tblGrid>
        <w:gridCol w:w="1210"/>
        <w:gridCol w:w="2420"/>
        <w:gridCol w:w="830"/>
      </w:tblGrid>
      <w:tr w:rsidR="00824C5D" w:rsidRPr="00902BCA" w:rsidTr="00582A1A">
        <w:trPr>
          <w:trHeight w:val="315"/>
          <w:jc w:val="center"/>
        </w:trPr>
        <w:tc>
          <w:tcPr>
            <w:tcW w:w="4460" w:type="dxa"/>
            <w:gridSpan w:val="3"/>
            <w:tcBorders>
              <w:top w:val="nil"/>
              <w:left w:val="nil"/>
              <w:bottom w:val="nil"/>
              <w:right w:val="nil"/>
            </w:tcBorders>
            <w:shd w:val="clear" w:color="auto" w:fill="auto"/>
            <w:noWrap/>
            <w:vAlign w:val="center"/>
            <w:hideMark/>
          </w:tcPr>
          <w:p w:rsidR="00824C5D" w:rsidRPr="002B239F" w:rsidRDefault="00824C5D" w:rsidP="00582A1A">
            <w:pPr>
              <w:spacing w:line="360" w:lineRule="auto"/>
              <w:ind w:right="-1"/>
              <w:rPr>
                <w:rFonts w:ascii="Times New Roman" w:eastAsia="Times New Roman" w:hAnsi="Times New Roman" w:cs="Times New Roman"/>
                <w:b/>
                <w:iCs/>
                <w:color w:val="000000"/>
                <w:sz w:val="24"/>
                <w:szCs w:val="24"/>
                <w:lang w:val="en-US"/>
              </w:rPr>
            </w:pPr>
            <w:r w:rsidRPr="002B239F">
              <w:rPr>
                <w:rFonts w:ascii="Times New Roman" w:eastAsia="Times New Roman" w:hAnsi="Times New Roman" w:cs="Times New Roman"/>
                <w:b/>
                <w:bCs/>
                <w:color w:val="000000"/>
                <w:sz w:val="24"/>
                <w:szCs w:val="24"/>
                <w:lang w:val="en-US"/>
              </w:rPr>
              <w:t xml:space="preserve">Table 3- </w:t>
            </w:r>
            <w:r w:rsidRPr="002B239F">
              <w:rPr>
                <w:rFonts w:ascii="Times New Roman" w:eastAsia="Times New Roman" w:hAnsi="Times New Roman" w:cs="Times New Roman"/>
                <w:b/>
                <w:iCs/>
                <w:color w:val="000000"/>
                <w:sz w:val="24"/>
                <w:szCs w:val="24"/>
                <w:lang w:val="en-US"/>
              </w:rPr>
              <w:t>Green Economy Index (Brazil)</w:t>
            </w:r>
          </w:p>
          <w:p w:rsidR="00824C5D" w:rsidRPr="00753173" w:rsidRDefault="00824C5D" w:rsidP="00582A1A">
            <w:pPr>
              <w:spacing w:line="360" w:lineRule="auto"/>
              <w:ind w:right="-1"/>
              <w:rPr>
                <w:rFonts w:ascii="Times New Roman" w:eastAsia="Times New Roman" w:hAnsi="Times New Roman" w:cs="Times New Roman"/>
                <w:b/>
                <w:bCs/>
                <w:color w:val="000000"/>
                <w:sz w:val="10"/>
                <w:szCs w:val="10"/>
                <w:lang w:val="en-US"/>
              </w:rPr>
            </w:pPr>
          </w:p>
        </w:tc>
      </w:tr>
      <w:tr w:rsidR="00824C5D" w:rsidRPr="003C6E7E" w:rsidTr="00582A1A">
        <w:trPr>
          <w:trHeight w:val="315"/>
          <w:jc w:val="center"/>
        </w:trPr>
        <w:tc>
          <w:tcPr>
            <w:tcW w:w="1210"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Period</w:t>
            </w:r>
          </w:p>
        </w:tc>
        <w:tc>
          <w:tcPr>
            <w:tcW w:w="2420" w:type="dxa"/>
            <w:tcBorders>
              <w:top w:val="single" w:sz="4" w:space="0" w:color="auto"/>
              <w:left w:val="nil"/>
              <w:bottom w:val="single" w:sz="4" w:space="0" w:color="auto"/>
              <w:right w:val="nil"/>
            </w:tcBorders>
            <w:shd w:val="clear" w:color="auto" w:fill="auto"/>
            <w:vAlign w:val="center"/>
            <w:hideMark/>
          </w:tcPr>
          <w:p w:rsidR="00824C5D" w:rsidRPr="002B239F" w:rsidRDefault="00824C5D" w:rsidP="00582A1A">
            <w:pPr>
              <w:ind w:right="-1"/>
              <w:jc w:val="center"/>
              <w:rPr>
                <w:rFonts w:ascii="Times New Roman" w:eastAsia="Times New Roman" w:hAnsi="Times New Roman" w:cs="Times New Roman"/>
                <w:iCs/>
                <w:sz w:val="24"/>
                <w:szCs w:val="24"/>
              </w:rPr>
            </w:pPr>
            <w:r w:rsidRPr="002B239F">
              <w:rPr>
                <w:rFonts w:ascii="Times New Roman" w:eastAsia="Times New Roman" w:hAnsi="Times New Roman" w:cs="Times New Roman"/>
                <w:iCs/>
                <w:sz w:val="24"/>
                <w:szCs w:val="24"/>
              </w:rPr>
              <w:t>Green Economy Index</w:t>
            </w:r>
          </w:p>
        </w:tc>
        <w:tc>
          <w:tcPr>
            <w:tcW w:w="830" w:type="dxa"/>
            <w:tcBorders>
              <w:top w:val="single" w:sz="4" w:space="0" w:color="auto"/>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Ideal</w:t>
            </w:r>
          </w:p>
        </w:tc>
      </w:tr>
      <w:tr w:rsidR="00824C5D" w:rsidRPr="003C6E7E" w:rsidTr="00582A1A">
        <w:trPr>
          <w:trHeight w:val="315"/>
          <w:jc w:val="center"/>
        </w:trPr>
        <w:tc>
          <w:tcPr>
            <w:tcW w:w="1210"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2001-07</w:t>
            </w:r>
          </w:p>
        </w:tc>
        <w:tc>
          <w:tcPr>
            <w:tcW w:w="2420"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274</w:t>
            </w:r>
          </w:p>
        </w:tc>
        <w:tc>
          <w:tcPr>
            <w:tcW w:w="830"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C6E7E">
              <w:rPr>
                <w:rFonts w:ascii="Times New Roman" w:eastAsia="Times New Roman" w:hAnsi="Times New Roman" w:cs="Times New Roman"/>
                <w:sz w:val="24"/>
                <w:szCs w:val="24"/>
              </w:rPr>
              <w:t>000</w:t>
            </w:r>
          </w:p>
        </w:tc>
      </w:tr>
      <w:tr w:rsidR="00824C5D" w:rsidRPr="003C6E7E" w:rsidTr="00582A1A">
        <w:trPr>
          <w:trHeight w:val="315"/>
          <w:jc w:val="center"/>
        </w:trPr>
        <w:tc>
          <w:tcPr>
            <w:tcW w:w="121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r w:rsidRPr="003C6E7E">
              <w:rPr>
                <w:rFonts w:ascii="Times New Roman" w:eastAsia="Times New Roman" w:hAnsi="Times New Roman" w:cs="Times New Roman"/>
                <w:sz w:val="24"/>
                <w:szCs w:val="24"/>
              </w:rPr>
              <w:t>-14</w:t>
            </w:r>
          </w:p>
        </w:tc>
        <w:tc>
          <w:tcPr>
            <w:tcW w:w="242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267</w:t>
            </w:r>
          </w:p>
        </w:tc>
        <w:tc>
          <w:tcPr>
            <w:tcW w:w="83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C6E7E">
              <w:rPr>
                <w:rFonts w:ascii="Times New Roman" w:eastAsia="Times New Roman" w:hAnsi="Times New Roman" w:cs="Times New Roman"/>
                <w:sz w:val="24"/>
                <w:szCs w:val="24"/>
              </w:rPr>
              <w:t>000</w:t>
            </w:r>
          </w:p>
        </w:tc>
      </w:tr>
    </w:tbl>
    <w:p w:rsidR="00824C5D" w:rsidRPr="007D51C6" w:rsidRDefault="00582A1A" w:rsidP="00824C5D">
      <w:pPr>
        <w:spacing w:after="160" w:line="259" w:lineRule="auto"/>
        <w:ind w:right="-1"/>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824C5D" w:rsidRPr="007D51C6">
        <w:rPr>
          <w:rFonts w:ascii="Times New Roman" w:eastAsia="Times New Roman" w:hAnsi="Times New Roman" w:cs="Times New Roman"/>
          <w:lang w:val="en-US"/>
        </w:rPr>
        <w:t>Source: elaborated by the author</w:t>
      </w:r>
      <w:r w:rsidR="00824C5D">
        <w:rPr>
          <w:rFonts w:ascii="Times New Roman" w:eastAsia="Times New Roman" w:hAnsi="Times New Roman" w:cs="Times New Roman"/>
          <w:lang w:val="en-US"/>
        </w:rPr>
        <w:t>s</w:t>
      </w:r>
      <w:r w:rsidR="00824C5D" w:rsidRPr="007D51C6">
        <w:rPr>
          <w:rFonts w:ascii="Times New Roman" w:eastAsia="Times New Roman" w:hAnsi="Times New Roman" w:cs="Times New Roman"/>
          <w:lang w:val="en-US"/>
        </w:rPr>
        <w:t>.</w:t>
      </w:r>
    </w:p>
    <w:p w:rsidR="00824C5D" w:rsidRPr="007D51C6" w:rsidRDefault="00824C5D" w:rsidP="00824C5D">
      <w:pPr>
        <w:spacing w:after="160" w:line="259" w:lineRule="auto"/>
        <w:ind w:right="-1"/>
        <w:rPr>
          <w:rFonts w:ascii="Times New Roman" w:eastAsia="Times New Roman" w:hAnsi="Times New Roman" w:cs="Times New Roman"/>
          <w:lang w:val="en-US"/>
        </w:rPr>
      </w:pPr>
    </w:p>
    <w:p w:rsidR="00824C5D" w:rsidRDefault="00824C5D" w:rsidP="00824C5D">
      <w:pPr>
        <w:spacing w:line="360" w:lineRule="auto"/>
        <w:ind w:right="-1" w:firstLine="851"/>
        <w:rPr>
          <w:rFonts w:ascii="Times New Roman" w:hAnsi="Times New Roman" w:cs="Times New Roman"/>
          <w:sz w:val="24"/>
          <w:szCs w:val="24"/>
          <w:lang w:val="en-US"/>
        </w:rPr>
      </w:pPr>
      <w:r>
        <w:rPr>
          <w:rFonts w:ascii="Times New Roman" w:hAnsi="Times New Roman" w:cs="Times New Roman"/>
          <w:sz w:val="24"/>
          <w:szCs w:val="24"/>
          <w:lang w:val="en-US"/>
        </w:rPr>
        <w:t>Since</w:t>
      </w:r>
      <w:r w:rsidRPr="00F52B13">
        <w:rPr>
          <w:rFonts w:ascii="Times New Roman" w:hAnsi="Times New Roman" w:cs="Times New Roman"/>
          <w:sz w:val="24"/>
          <w:szCs w:val="24"/>
          <w:lang w:val="en-US"/>
        </w:rPr>
        <w:t xml:space="preserve"> the results of each year of the index depend on those previously attained, the </w:t>
      </w:r>
      <w:r>
        <w:rPr>
          <w:rFonts w:ascii="Times New Roman" w:hAnsi="Times New Roman" w:cs="Times New Roman"/>
          <w:sz w:val="24"/>
          <w:szCs w:val="24"/>
          <w:lang w:val="en-US"/>
        </w:rPr>
        <w:t>geometric formula</w:t>
      </w:r>
      <w:r w:rsidRPr="00F52B13">
        <w:rPr>
          <w:rFonts w:ascii="Times New Roman" w:hAnsi="Times New Roman" w:cs="Times New Roman"/>
          <w:sz w:val="24"/>
          <w:szCs w:val="24"/>
          <w:lang w:val="en-US"/>
        </w:rPr>
        <w:t xml:space="preserve"> to the rat</w:t>
      </w:r>
      <w:r>
        <w:rPr>
          <w:rFonts w:ascii="Times New Roman" w:hAnsi="Times New Roman" w:cs="Times New Roman"/>
          <w:sz w:val="24"/>
          <w:szCs w:val="24"/>
          <w:lang w:val="en-US"/>
        </w:rPr>
        <w:t>e of variation is given by</w:t>
      </w:r>
      <w:r w:rsidRPr="00F52B13">
        <w:rPr>
          <w:rFonts w:ascii="Times New Roman" w:hAnsi="Times New Roman" w:cs="Times New Roman"/>
          <w:sz w:val="24"/>
          <w:szCs w:val="24"/>
          <w:lang w:val="en-US"/>
        </w:rPr>
        <w:t>:</w:t>
      </w:r>
    </w:p>
    <w:p w:rsidR="00824C5D" w:rsidRDefault="00824C5D" w:rsidP="00824C5D">
      <w:pPr>
        <w:spacing w:after="160" w:line="259" w:lineRule="auto"/>
        <w:ind w:right="-1"/>
        <w:rPr>
          <w:rFonts w:ascii="Times New Roman" w:hAnsi="Times New Roman" w:cs="Times New Roman"/>
          <w:sz w:val="24"/>
          <w:szCs w:val="24"/>
          <w:lang w:val="en-US"/>
        </w:rPr>
      </w:pPr>
    </w:p>
    <w:tbl>
      <w:tblPr>
        <w:tblW w:w="8522" w:type="dxa"/>
        <w:tblLook w:val="04A0" w:firstRow="1" w:lastRow="0" w:firstColumn="1" w:lastColumn="0" w:noHBand="0" w:noVBand="1"/>
      </w:tblPr>
      <w:tblGrid>
        <w:gridCol w:w="564"/>
        <w:gridCol w:w="7342"/>
        <w:gridCol w:w="616"/>
      </w:tblGrid>
      <w:tr w:rsidR="00824C5D" w:rsidRPr="003C6E7E" w:rsidTr="00582A1A">
        <w:trPr>
          <w:trHeight w:val="324"/>
        </w:trPr>
        <w:tc>
          <w:tcPr>
            <w:tcW w:w="564" w:type="dxa"/>
          </w:tcPr>
          <w:p w:rsidR="00824C5D" w:rsidRPr="007414BE" w:rsidRDefault="00824C5D" w:rsidP="00582A1A">
            <w:pPr>
              <w:spacing w:line="360" w:lineRule="auto"/>
              <w:ind w:right="-1"/>
              <w:jc w:val="both"/>
              <w:rPr>
                <w:lang w:val="en-US"/>
              </w:rPr>
            </w:pPr>
          </w:p>
        </w:tc>
        <w:tc>
          <w:tcPr>
            <w:tcW w:w="7342" w:type="dxa"/>
          </w:tcPr>
          <w:p w:rsidR="00824C5D" w:rsidRPr="007414BE" w:rsidRDefault="00824C5D" w:rsidP="00582A1A">
            <w:pPr>
              <w:spacing w:line="360" w:lineRule="auto"/>
              <w:ind w:right="-1"/>
              <w:jc w:val="both"/>
              <w:rPr>
                <w:lang w:val="en-US"/>
              </w:rPr>
            </w:pPr>
            <m:oMath>
              <m:r>
                <w:rPr>
                  <w:rFonts w:ascii="Cambria Math" w:eastAsia="Times New Roman" w:hAnsi="Cambria Math" w:cs="Times New Roman"/>
                  <w:sz w:val="24"/>
                  <w:szCs w:val="24"/>
                  <w:lang w:val="en-US"/>
                </w:rPr>
                <m:t>variation=100∙(</m:t>
              </m:r>
              <m:rad>
                <m:radPr>
                  <m:ctrlPr>
                    <w:rPr>
                      <w:rFonts w:ascii="Cambria Math" w:eastAsia="Times New Roman" w:hAnsi="Cambria Math" w:cs="Times New Roman"/>
                      <w:sz w:val="24"/>
                      <w:szCs w:val="24"/>
                      <w:lang w:val="en-US"/>
                    </w:rPr>
                  </m:ctrlPr>
                </m:radPr>
                <m:deg>
                  <m:r>
                    <m:rPr>
                      <m:sty m:val="p"/>
                    </m:rPr>
                    <w:rPr>
                      <w:rFonts w:ascii="Cambria Math" w:eastAsia="Times New Roman" w:hAnsi="Cambria Math" w:cs="Times New Roman"/>
                      <w:sz w:val="24"/>
                      <w:szCs w:val="24"/>
                      <w:lang w:val="en-US"/>
                    </w:rPr>
                    <m:t>n</m:t>
                  </m:r>
                </m:deg>
                <m:e>
                  <m:f>
                    <m:fPr>
                      <m:ctrlPr>
                        <w:rPr>
                          <w:rFonts w:ascii="Cambria Math" w:eastAsia="Times New Roman" w:hAnsi="Cambria Math" w:cs="Times New Roman"/>
                          <w:sz w:val="24"/>
                          <w:szCs w:val="24"/>
                          <w:lang w:val="en-US"/>
                        </w:rPr>
                      </m:ctrlPr>
                    </m:fPr>
                    <m:num>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green index</m:t>
                          </m:r>
                        </m:e>
                        <m:sub>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en-US"/>
                                </w:rPr>
                                <m:t>2008</m:t>
                              </m:r>
                            </m:num>
                            <m:den>
                              <m:r>
                                <m:rPr>
                                  <m:sty m:val="p"/>
                                </m:rPr>
                                <w:rPr>
                                  <w:rFonts w:ascii="Cambria Math" w:eastAsia="Times New Roman" w:hAnsi="Cambria Math" w:cs="Times New Roman"/>
                                  <w:sz w:val="24"/>
                                  <w:szCs w:val="24"/>
                                  <w:lang w:val="en-US"/>
                                </w:rPr>
                                <m:t>2014</m:t>
                              </m:r>
                            </m:den>
                          </m:f>
                        </m:sub>
                      </m:sSub>
                    </m:num>
                    <m:den>
                      <m:r>
                        <m:rPr>
                          <m:sty m:val="p"/>
                        </m:rPr>
                        <w:rPr>
                          <w:rFonts w:ascii="Cambria Math" w:eastAsia="Times New Roman" w:hAnsi="Cambria Math" w:cs="Times New Roman"/>
                          <w:sz w:val="24"/>
                          <w:szCs w:val="24"/>
                          <w:lang w:val="en-US"/>
                        </w:rPr>
                        <m:t xml:space="preserve"> green </m:t>
                      </m:r>
                      <m:sSub>
                        <m:sSubPr>
                          <m:ctrlPr>
                            <w:rPr>
                              <w:rFonts w:ascii="Cambria Math" w:eastAsia="Times New Roman" w:hAnsi="Cambria Math" w:cs="Times New Roman"/>
                              <w:sz w:val="24"/>
                              <w:szCs w:val="24"/>
                              <w:lang w:val="en-US"/>
                            </w:rPr>
                          </m:ctrlPr>
                        </m:sSubPr>
                        <m:e>
                          <m:r>
                            <m:rPr>
                              <m:sty m:val="p"/>
                            </m:rPr>
                            <w:rPr>
                              <w:rFonts w:ascii="Cambria Math" w:eastAsia="Times New Roman" w:hAnsi="Cambria Math" w:cs="Times New Roman"/>
                              <w:sz w:val="24"/>
                              <w:szCs w:val="24"/>
                              <w:lang w:val="en-US"/>
                            </w:rPr>
                            <m:t>index</m:t>
                          </m:r>
                        </m:e>
                        <m:sub>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en-US"/>
                                </w:rPr>
                                <m:t>2001</m:t>
                              </m:r>
                            </m:num>
                            <m:den>
                              <m:r>
                                <m:rPr>
                                  <m:sty m:val="p"/>
                                </m:rPr>
                                <w:rPr>
                                  <w:rFonts w:ascii="Cambria Math" w:eastAsia="Times New Roman" w:hAnsi="Cambria Math" w:cs="Times New Roman"/>
                                  <w:sz w:val="24"/>
                                  <w:szCs w:val="24"/>
                                  <w:lang w:val="en-US"/>
                                </w:rPr>
                                <m:t>2007</m:t>
                              </m:r>
                            </m:den>
                          </m:f>
                        </m:sub>
                      </m:sSub>
                    </m:den>
                  </m:f>
                </m:e>
              </m:rad>
              <m:r>
                <m:rPr>
                  <m:sty m:val="p"/>
                </m:rP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1</m:t>
              </m:r>
            </m:oMath>
            <w:r w:rsidRPr="007414BE">
              <w:rPr>
                <w:sz w:val="24"/>
                <w:szCs w:val="24"/>
                <w:lang w:val="en-US"/>
              </w:rPr>
              <w:t>)</w:t>
            </w:r>
          </w:p>
        </w:tc>
        <w:tc>
          <w:tcPr>
            <w:tcW w:w="616" w:type="dxa"/>
          </w:tcPr>
          <w:p w:rsidR="00824C5D" w:rsidRPr="003C6E7E" w:rsidRDefault="00824C5D" w:rsidP="00582A1A">
            <w:pPr>
              <w:spacing w:line="360" w:lineRule="auto"/>
              <w:ind w:right="-1"/>
              <w:jc w:val="both"/>
            </w:pPr>
            <w:r w:rsidRPr="007414BE">
              <w:rPr>
                <w:rFonts w:ascii="Times New Roman" w:eastAsia="Times New Roman" w:hAnsi="Times New Roman" w:cs="Times New Roman"/>
                <w:sz w:val="24"/>
                <w:szCs w:val="24"/>
              </w:rPr>
              <w:t>(12)</w:t>
            </w:r>
          </w:p>
        </w:tc>
      </w:tr>
    </w:tbl>
    <w:p w:rsidR="00824C5D" w:rsidRDefault="00824C5D" w:rsidP="00824C5D">
      <w:pPr>
        <w:spacing w:line="360" w:lineRule="auto"/>
        <w:ind w:right="-1"/>
        <w:jc w:val="both"/>
        <w:rPr>
          <w:rFonts w:ascii="Times New Roman" w:hAnsi="Times New Roman" w:cs="Times New Roman"/>
          <w:sz w:val="24"/>
          <w:szCs w:val="24"/>
        </w:rPr>
      </w:pPr>
    </w:p>
    <w:p w:rsidR="00824C5D" w:rsidRPr="005C2D94" w:rsidRDefault="00824C5D" w:rsidP="00824C5D">
      <w:pPr>
        <w:spacing w:line="360" w:lineRule="auto"/>
        <w:ind w:right="-1"/>
        <w:jc w:val="both"/>
        <w:rPr>
          <w:rFonts w:ascii="Times New Roman" w:hAnsi="Times New Roman" w:cs="Times New Roman"/>
          <w:vanish/>
          <w:sz w:val="24"/>
          <w:szCs w:val="24"/>
        </w:rPr>
      </w:pPr>
    </w:p>
    <w:p w:rsidR="00824C5D" w:rsidRDefault="00824C5D" w:rsidP="00824C5D">
      <w:pPr>
        <w:spacing w:line="360" w:lineRule="auto"/>
        <w:ind w:right="-1" w:firstLine="993"/>
        <w:jc w:val="both"/>
        <w:rPr>
          <w:rFonts w:ascii="Times New Roman" w:hAnsi="Times New Roman" w:cs="Times New Roman"/>
          <w:sz w:val="24"/>
          <w:szCs w:val="24"/>
          <w:lang w:val="en-US"/>
        </w:rPr>
      </w:pPr>
      <w:r w:rsidRPr="005C2D94">
        <w:rPr>
          <w:rFonts w:ascii="Times New Roman" w:hAnsi="Times New Roman" w:cs="Times New Roman"/>
          <w:sz w:val="24"/>
          <w:szCs w:val="24"/>
          <w:lang w:val="en-US"/>
        </w:rPr>
        <w:t xml:space="preserve">Therefore, the rate of annual change for the period </w:t>
      </w:r>
      <w:r>
        <w:rPr>
          <w:rFonts w:ascii="Times New Roman" w:hAnsi="Times New Roman" w:cs="Times New Roman"/>
          <w:sz w:val="24"/>
          <w:szCs w:val="24"/>
          <w:lang w:val="en-US"/>
        </w:rPr>
        <w:t>studied is – 0.370%. In Figure 4</w:t>
      </w:r>
      <w:r w:rsidRPr="005C2D94">
        <w:rPr>
          <w:rFonts w:ascii="Times New Roman" w:hAnsi="Times New Roman" w:cs="Times New Roman"/>
          <w:sz w:val="24"/>
          <w:szCs w:val="24"/>
          <w:lang w:val="en-US"/>
        </w:rPr>
        <w:t>, the Magic Triangle was used to visualize the results obtained.</w:t>
      </w:r>
      <w:r>
        <w:rPr>
          <w:rFonts w:ascii="Times New Roman" w:hAnsi="Times New Roman" w:cs="Times New Roman"/>
          <w:sz w:val="24"/>
          <w:szCs w:val="24"/>
          <w:lang w:val="en-US"/>
        </w:rPr>
        <w:t xml:space="preserve"> A</w:t>
      </w:r>
      <w:r w:rsidRPr="005C2D94">
        <w:rPr>
          <w:rFonts w:ascii="Times New Roman" w:hAnsi="Times New Roman" w:cs="Times New Roman"/>
          <w:sz w:val="24"/>
          <w:szCs w:val="24"/>
          <w:lang w:val="en-US"/>
        </w:rPr>
        <w:t>s the performances in the periods were very close, the triangles of the graphical r</w:t>
      </w:r>
      <w:r>
        <w:rPr>
          <w:rFonts w:ascii="Times New Roman" w:hAnsi="Times New Roman" w:cs="Times New Roman"/>
          <w:sz w:val="24"/>
          <w:szCs w:val="24"/>
          <w:lang w:val="en-US"/>
        </w:rPr>
        <w:t>epresentation are superimposed.</w:t>
      </w:r>
    </w:p>
    <w:p w:rsidR="00824C5D" w:rsidRDefault="00824C5D" w:rsidP="00824C5D">
      <w:pPr>
        <w:spacing w:after="160" w:line="259" w:lineRule="auto"/>
        <w:ind w:right="-1"/>
        <w:rPr>
          <w:rFonts w:ascii="Times New Roman" w:hAnsi="Times New Roman" w:cs="Times New Roman"/>
          <w:sz w:val="24"/>
          <w:szCs w:val="24"/>
          <w:lang w:val="en-US"/>
        </w:rPr>
      </w:pPr>
    </w:p>
    <w:p w:rsidR="00824C5D" w:rsidRDefault="00824C5D" w:rsidP="00824C5D">
      <w:pPr>
        <w:spacing w:after="160" w:line="259" w:lineRule="auto"/>
        <w:ind w:right="-1"/>
        <w:jc w:val="center"/>
        <w:rPr>
          <w:rFonts w:ascii="Times New Roman" w:hAnsi="Times New Roman" w:cs="Times New Roman"/>
          <w:sz w:val="24"/>
          <w:szCs w:val="24"/>
          <w:lang w:val="en-US"/>
        </w:rPr>
      </w:pPr>
      <w:r>
        <w:rPr>
          <w:noProof/>
        </w:rPr>
        <w:drawing>
          <wp:inline distT="0" distB="0" distL="0" distR="0">
            <wp:extent cx="5404612" cy="3307080"/>
            <wp:effectExtent l="6096" t="0" r="7112" b="0"/>
            <wp:docPr id="1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4C5D" w:rsidRDefault="00824C5D" w:rsidP="00824C5D">
      <w:pPr>
        <w:spacing w:after="160" w:line="259" w:lineRule="auto"/>
        <w:ind w:right="-1"/>
        <w:rPr>
          <w:rFonts w:ascii="Times New Roman" w:hAnsi="Times New Roman" w:cs="Times New Roman"/>
          <w:lang w:val="en-US"/>
        </w:rPr>
      </w:pPr>
      <w:r>
        <w:rPr>
          <w:rFonts w:ascii="Times New Roman" w:hAnsi="Times New Roman" w:cs="Times New Roman"/>
          <w:lang w:val="en-US"/>
        </w:rPr>
        <w:t xml:space="preserve">Source: elaborated by the authors. </w:t>
      </w:r>
    </w:p>
    <w:p w:rsidR="00824C5D" w:rsidRDefault="00824C5D" w:rsidP="00824C5D">
      <w:pPr>
        <w:spacing w:after="160" w:line="259" w:lineRule="auto"/>
        <w:ind w:right="-1"/>
        <w:rPr>
          <w:rFonts w:ascii="Times New Roman" w:hAnsi="Times New Roman" w:cs="Times New Roman"/>
          <w:sz w:val="24"/>
          <w:szCs w:val="24"/>
          <w:lang w:val="en-US"/>
        </w:rPr>
      </w:pPr>
    </w:p>
    <w:p w:rsidR="00824C5D" w:rsidRDefault="00824C5D" w:rsidP="00824C5D">
      <w:pPr>
        <w:spacing w:line="36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establish if the GDP per capita </w:t>
      </w:r>
      <w:r w:rsidRPr="005C2D94">
        <w:rPr>
          <w:rFonts w:ascii="Times New Roman" w:hAnsi="Times New Roman" w:cs="Times New Roman"/>
          <w:sz w:val="24"/>
          <w:szCs w:val="24"/>
          <w:lang w:val="en-US"/>
        </w:rPr>
        <w:t>adversely affect</w:t>
      </w:r>
      <w:r>
        <w:rPr>
          <w:rFonts w:ascii="Times New Roman" w:hAnsi="Times New Roman" w:cs="Times New Roman"/>
          <w:sz w:val="24"/>
          <w:szCs w:val="24"/>
          <w:lang w:val="en-US"/>
        </w:rPr>
        <w:t>s the results</w:t>
      </w:r>
      <w:r w:rsidRPr="005C2D94">
        <w:rPr>
          <w:rFonts w:ascii="Times New Roman" w:hAnsi="Times New Roman" w:cs="Times New Roman"/>
          <w:sz w:val="24"/>
          <w:szCs w:val="24"/>
          <w:lang w:val="en-US"/>
        </w:rPr>
        <w:t xml:space="preserve"> the </w:t>
      </w:r>
      <w:r>
        <w:rPr>
          <w:rFonts w:ascii="Times New Roman" w:hAnsi="Times New Roman" w:cs="Times New Roman"/>
          <w:sz w:val="24"/>
          <w:szCs w:val="24"/>
          <w:lang w:val="en-US"/>
        </w:rPr>
        <w:t>calculated indicator, the Gini Index</w:t>
      </w:r>
      <w:r w:rsidR="00582A1A">
        <w:rPr>
          <w:rFonts w:ascii="Times New Roman" w:hAnsi="Times New Roman" w:cs="Times New Roman"/>
          <w:sz w:val="24"/>
          <w:szCs w:val="24"/>
          <w:lang w:val="en-US"/>
        </w:rPr>
        <w:t>,</w:t>
      </w:r>
      <w:r w:rsidR="00FA3EA9">
        <w:rPr>
          <w:rFonts w:ascii="Times New Roman" w:hAnsi="Times New Roman" w:cs="Times New Roman"/>
          <w:sz w:val="24"/>
          <w:szCs w:val="24"/>
          <w:lang w:val="en-US"/>
        </w:rPr>
        <w:t xml:space="preserve"> </w:t>
      </w:r>
      <w:r>
        <w:rPr>
          <w:rFonts w:ascii="Times New Roman" w:hAnsi="Times New Roman" w:cs="Times New Roman"/>
          <w:sz w:val="24"/>
          <w:szCs w:val="24"/>
          <w:lang w:val="en-US"/>
        </w:rPr>
        <w:t>was chosen</w:t>
      </w:r>
      <w:r w:rsidRPr="005C2D94">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o represent a proxy of the social pillar. </w:t>
      </w:r>
      <w:r w:rsidRPr="005C2D94">
        <w:rPr>
          <w:rFonts w:ascii="Times New Roman" w:hAnsi="Times New Roman" w:cs="Times New Roman"/>
          <w:sz w:val="24"/>
          <w:szCs w:val="24"/>
          <w:lang w:val="en-US"/>
        </w:rPr>
        <w:t>The average of the rate of change of the actual data for the perio</w:t>
      </w:r>
      <w:r>
        <w:rPr>
          <w:rFonts w:ascii="Times New Roman" w:hAnsi="Times New Roman" w:cs="Times New Roman"/>
          <w:sz w:val="24"/>
          <w:szCs w:val="24"/>
          <w:lang w:val="en-US"/>
        </w:rPr>
        <w:t>d 2001-2007 and 2008-2014 to Brazil is presented in</w:t>
      </w:r>
      <w:r w:rsidRPr="005C2D94">
        <w:rPr>
          <w:rFonts w:ascii="Times New Roman" w:hAnsi="Times New Roman" w:cs="Times New Roman"/>
          <w:sz w:val="24"/>
          <w:szCs w:val="24"/>
          <w:lang w:val="en-US"/>
        </w:rPr>
        <w:t xml:space="preserve"> Table 4.</w:t>
      </w:r>
    </w:p>
    <w:p w:rsidR="00824C5D" w:rsidRPr="005C2D94" w:rsidRDefault="00824C5D" w:rsidP="00824C5D">
      <w:pPr>
        <w:ind w:right="-1" w:firstLine="709"/>
        <w:jc w:val="both"/>
        <w:rPr>
          <w:rFonts w:ascii="Times New Roman" w:hAnsi="Times New Roman" w:cs="Times New Roman"/>
          <w:sz w:val="24"/>
          <w:szCs w:val="24"/>
          <w:lang w:val="en-US"/>
        </w:rPr>
      </w:pPr>
    </w:p>
    <w:tbl>
      <w:tblPr>
        <w:tblW w:w="2840" w:type="dxa"/>
        <w:jc w:val="center"/>
        <w:tblCellMar>
          <w:left w:w="70" w:type="dxa"/>
          <w:right w:w="70" w:type="dxa"/>
        </w:tblCellMar>
        <w:tblLook w:val="04A0" w:firstRow="1" w:lastRow="0" w:firstColumn="1" w:lastColumn="0" w:noHBand="0" w:noVBand="1"/>
      </w:tblPr>
      <w:tblGrid>
        <w:gridCol w:w="1760"/>
        <w:gridCol w:w="1080"/>
      </w:tblGrid>
      <w:tr w:rsidR="00824C5D" w:rsidRPr="003C6E7E" w:rsidTr="00582A1A">
        <w:trPr>
          <w:trHeight w:val="780"/>
          <w:jc w:val="center"/>
        </w:trPr>
        <w:tc>
          <w:tcPr>
            <w:tcW w:w="2840" w:type="dxa"/>
            <w:gridSpan w:val="2"/>
            <w:tcBorders>
              <w:top w:val="nil"/>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Table</w:t>
            </w:r>
            <w:r w:rsidRPr="003C6E7E">
              <w:rPr>
                <w:rFonts w:ascii="Times New Roman" w:eastAsia="Times New Roman" w:hAnsi="Times New Roman" w:cs="Times New Roman"/>
                <w:b/>
                <w:bCs/>
                <w:color w:val="000000"/>
                <w:sz w:val="24"/>
                <w:szCs w:val="24"/>
              </w:rPr>
              <w:t xml:space="preserve"> 4</w:t>
            </w:r>
            <w:r w:rsidR="00575380">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w:t>
            </w:r>
            <w:r w:rsidRPr="003C6E7E">
              <w:rPr>
                <w:rFonts w:ascii="Times New Roman" w:eastAsia="Times New Roman" w:hAnsi="Times New Roman" w:cs="Times New Roman"/>
                <w:color w:val="000000"/>
                <w:sz w:val="24"/>
                <w:szCs w:val="24"/>
              </w:rPr>
              <w:t>Gini</w:t>
            </w:r>
            <w:r>
              <w:rPr>
                <w:rFonts w:ascii="Times New Roman" w:eastAsia="Times New Roman" w:hAnsi="Times New Roman" w:cs="Times New Roman"/>
                <w:color w:val="000000"/>
                <w:sz w:val="24"/>
                <w:szCs w:val="24"/>
              </w:rPr>
              <w:t xml:space="preserve"> Index: Braz</w:t>
            </w:r>
            <w:r w:rsidRPr="003C6E7E">
              <w:rPr>
                <w:rFonts w:ascii="Times New Roman" w:eastAsia="Times New Roman" w:hAnsi="Times New Roman" w:cs="Times New Roman"/>
                <w:color w:val="000000"/>
                <w:sz w:val="24"/>
                <w:szCs w:val="24"/>
              </w:rPr>
              <w:t>il (%)</w:t>
            </w:r>
          </w:p>
        </w:tc>
      </w:tr>
      <w:tr w:rsidR="00824C5D" w:rsidRPr="003C6E7E" w:rsidTr="00582A1A">
        <w:trPr>
          <w:trHeight w:val="630"/>
          <w:jc w:val="center"/>
        </w:trPr>
        <w:tc>
          <w:tcPr>
            <w:tcW w:w="1760" w:type="dxa"/>
            <w:tcBorders>
              <w:top w:val="single" w:sz="4" w:space="0" w:color="auto"/>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Period</w:t>
            </w:r>
          </w:p>
        </w:tc>
        <w:tc>
          <w:tcPr>
            <w:tcW w:w="1080" w:type="dxa"/>
            <w:tcBorders>
              <w:top w:val="single" w:sz="4" w:space="0" w:color="auto"/>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Gini</w:t>
            </w:r>
            <w:r>
              <w:rPr>
                <w:rFonts w:ascii="Times New Roman" w:eastAsia="Times New Roman" w:hAnsi="Times New Roman" w:cs="Times New Roman"/>
                <w:sz w:val="24"/>
                <w:szCs w:val="24"/>
              </w:rPr>
              <w:t xml:space="preserve"> Index</w:t>
            </w:r>
            <w:r w:rsidRPr="003C6E7E">
              <w:rPr>
                <w:rFonts w:ascii="Times New Roman" w:eastAsia="Times New Roman" w:hAnsi="Times New Roman" w:cs="Times New Roman"/>
                <w:sz w:val="24"/>
                <w:szCs w:val="24"/>
              </w:rPr>
              <w:t xml:space="preserve"> (γ)</w:t>
            </w:r>
          </w:p>
        </w:tc>
      </w:tr>
      <w:tr w:rsidR="00824C5D" w:rsidRPr="003C6E7E" w:rsidTr="00582A1A">
        <w:trPr>
          <w:trHeight w:val="300"/>
          <w:jc w:val="center"/>
        </w:trPr>
        <w:tc>
          <w:tcPr>
            <w:tcW w:w="1760" w:type="dxa"/>
            <w:tcBorders>
              <w:top w:val="nil"/>
              <w:left w:val="nil"/>
              <w:bottom w:val="nil"/>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2001-07</w:t>
            </w:r>
          </w:p>
        </w:tc>
        <w:tc>
          <w:tcPr>
            <w:tcW w:w="1080"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009</w:t>
            </w:r>
          </w:p>
        </w:tc>
      </w:tr>
      <w:tr w:rsidR="00824C5D" w:rsidRPr="003C6E7E" w:rsidTr="00582A1A">
        <w:trPr>
          <w:trHeight w:val="300"/>
          <w:jc w:val="center"/>
        </w:trPr>
        <w:tc>
          <w:tcPr>
            <w:tcW w:w="1760" w:type="dxa"/>
            <w:tcBorders>
              <w:top w:val="nil"/>
              <w:left w:val="nil"/>
              <w:bottom w:val="single" w:sz="4" w:space="0" w:color="auto"/>
              <w:right w:val="nil"/>
            </w:tcBorders>
            <w:shd w:val="clear" w:color="auto" w:fill="auto"/>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2008-14</w:t>
            </w:r>
          </w:p>
        </w:tc>
        <w:tc>
          <w:tcPr>
            <w:tcW w:w="1080"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010</w:t>
            </w:r>
          </w:p>
        </w:tc>
      </w:tr>
    </w:tbl>
    <w:p w:rsidR="00824C5D" w:rsidRDefault="00582A1A" w:rsidP="00824C5D">
      <w:pPr>
        <w:tabs>
          <w:tab w:val="left" w:pos="4830"/>
        </w:tabs>
        <w:spacing w:after="160"/>
        <w:ind w:right="-1" w:firstLine="708"/>
        <w:rPr>
          <w:rFonts w:ascii="Times New Roman" w:hAnsi="Times New Roman" w:cs="Times New Roman"/>
          <w:lang w:val="en-US"/>
        </w:rPr>
      </w:pPr>
      <w:r>
        <w:rPr>
          <w:rFonts w:ascii="Times New Roman" w:hAnsi="Times New Roman" w:cs="Times New Roman"/>
          <w:lang w:val="en-US"/>
        </w:rPr>
        <w:t xml:space="preserve">                                           </w:t>
      </w:r>
      <w:r w:rsidR="00824C5D" w:rsidRPr="00BF5960">
        <w:rPr>
          <w:rFonts w:ascii="Times New Roman" w:hAnsi="Times New Roman" w:cs="Times New Roman"/>
          <w:lang w:val="en-US"/>
        </w:rPr>
        <w:t>Source: the author</w:t>
      </w:r>
      <w:r w:rsidR="00824C5D">
        <w:rPr>
          <w:rFonts w:ascii="Times New Roman" w:hAnsi="Times New Roman" w:cs="Times New Roman"/>
          <w:lang w:val="en-US"/>
        </w:rPr>
        <w:t>s</w:t>
      </w:r>
      <w:r w:rsidR="00824C5D" w:rsidRPr="00BF5960">
        <w:rPr>
          <w:rFonts w:ascii="Times New Roman" w:hAnsi="Times New Roman" w:cs="Times New Roman"/>
          <w:lang w:val="en-US"/>
        </w:rPr>
        <w:t xml:space="preserve">. </w:t>
      </w:r>
    </w:p>
    <w:p w:rsidR="00824C5D" w:rsidRPr="00965BE1" w:rsidRDefault="00824C5D" w:rsidP="00824C5D">
      <w:pPr>
        <w:tabs>
          <w:tab w:val="left" w:pos="4830"/>
        </w:tabs>
        <w:ind w:right="-1" w:firstLine="709"/>
        <w:rPr>
          <w:rFonts w:ascii="Times New Roman" w:hAnsi="Times New Roman" w:cs="Times New Roman"/>
          <w:lang w:val="en-US"/>
        </w:rPr>
      </w:pPr>
    </w:p>
    <w:p w:rsidR="00824C5D" w:rsidRPr="004F2436" w:rsidRDefault="00824C5D" w:rsidP="00824C5D">
      <w:pPr>
        <w:spacing w:line="360" w:lineRule="auto"/>
        <w:ind w:right="-1" w:firstLine="851"/>
        <w:jc w:val="both"/>
        <w:rPr>
          <w:rFonts w:ascii="Times New Roman" w:hAnsi="Times New Roman" w:cs="Times New Roman"/>
          <w:sz w:val="24"/>
          <w:szCs w:val="24"/>
          <w:lang w:val="en-US"/>
        </w:rPr>
      </w:pPr>
      <w:r w:rsidRPr="004F2436">
        <w:rPr>
          <w:rFonts w:ascii="Times New Roman" w:hAnsi="Times New Roman" w:cs="Times New Roman"/>
          <w:sz w:val="24"/>
          <w:szCs w:val="24"/>
          <w:lang w:val="en-US"/>
        </w:rPr>
        <w:t>The rate of variation of the indicator of a green economy for Brazil</w:t>
      </w:r>
      <w:r>
        <w:rPr>
          <w:rFonts w:ascii="Times New Roman" w:hAnsi="Times New Roman" w:cs="Times New Roman"/>
          <w:sz w:val="24"/>
          <w:szCs w:val="24"/>
          <w:lang w:val="en-US"/>
        </w:rPr>
        <w:t>, taking to account the Gini Index, is</w:t>
      </w:r>
      <w:r w:rsidRPr="004F2436">
        <w:rPr>
          <w:rFonts w:ascii="Times New Roman" w:hAnsi="Times New Roman" w:cs="Times New Roman"/>
          <w:sz w:val="24"/>
          <w:szCs w:val="24"/>
          <w:lang w:val="en-US"/>
        </w:rPr>
        <w:t>:</w:t>
      </w:r>
    </w:p>
    <w:p w:rsidR="00824C5D" w:rsidRPr="006D693B" w:rsidRDefault="00824C5D" w:rsidP="00824C5D">
      <w:pPr>
        <w:ind w:right="-1"/>
        <w:jc w:val="center"/>
        <w:rPr>
          <w:rFonts w:ascii="Times New Roman" w:eastAsia="Times New Roman" w:hAnsi="Times New Roman" w:cs="Times New Roman"/>
          <w:sz w:val="24"/>
          <w:szCs w:val="24"/>
          <w:lang w:val="en-US"/>
        </w:rPr>
      </w:pPr>
      <m:oMath>
        <m:r>
          <w:rPr>
            <w:rFonts w:ascii="Cambria Math" w:eastAsia="Times New Roman" w:hAnsi="Cambria Math" w:cs="Times New Roman"/>
            <w:sz w:val="24"/>
            <w:szCs w:val="24"/>
            <w:lang w:val="en-US"/>
          </w:rPr>
          <m:t>variation=100∙(</m:t>
        </m:r>
        <m:rad>
          <m:radPr>
            <m:ctrlPr>
              <w:rPr>
                <w:rFonts w:ascii="Cambria Math" w:eastAsia="Times New Roman" w:hAnsi="Cambria Math" w:cs="Times New Roman"/>
                <w:i/>
                <w:sz w:val="24"/>
                <w:szCs w:val="24"/>
                <w:lang w:val="en-US"/>
              </w:rPr>
            </m:ctrlPr>
          </m:radPr>
          <m:deg>
            <m:r>
              <w:rPr>
                <w:rFonts w:ascii="Cambria Math" w:eastAsia="Times New Roman" w:hAnsi="Cambria Math" w:cs="Times New Roman"/>
                <w:sz w:val="24"/>
                <w:szCs w:val="24"/>
                <w:lang w:val="en-US"/>
              </w:rPr>
              <m:t>7</m:t>
            </m:r>
          </m:deg>
          <m:e>
            <m:f>
              <m:fPr>
                <m:ctrlPr>
                  <w:rPr>
                    <w:rFonts w:ascii="Cambria Math" w:eastAsia="Times New Roman" w:hAnsi="Cambria Math" w:cs="Times New Roman"/>
                    <w:i/>
                    <w:sz w:val="24"/>
                    <w:szCs w:val="24"/>
                    <w:lang w:val="en-US"/>
                  </w:rPr>
                </m:ctrlPr>
              </m:fPr>
              <m:num>
                <m:r>
                  <m:rPr>
                    <m:sty m:val="p"/>
                  </m:rPr>
                  <w:rPr>
                    <w:rFonts w:ascii="Cambria Math" w:eastAsia="Times New Roman" w:hAnsi="Cambria Math" w:cs="Times New Roman"/>
                    <w:sz w:val="24"/>
                    <w:szCs w:val="24"/>
                    <w:lang w:val="en-US"/>
                  </w:rPr>
                  <m:t>0,252</m:t>
                </m:r>
              </m:num>
              <m:den>
                <m:r>
                  <m:rPr>
                    <m:sty m:val="p"/>
                  </m:rPr>
                  <w:rPr>
                    <w:rFonts w:ascii="Cambria Math" w:eastAsia="Times New Roman" w:hAnsi="Cambria Math" w:cs="Times New Roman"/>
                    <w:sz w:val="24"/>
                    <w:szCs w:val="24"/>
                    <w:lang w:val="en-US"/>
                  </w:rPr>
                  <m:t>0,257</m:t>
                </m:r>
              </m:den>
            </m:f>
          </m:e>
        </m:rad>
        <m:r>
          <w:rPr>
            <w:rFonts w:ascii="Cambria Math" w:eastAsia="Times New Roman" w:hAnsi="Cambria Math" w:cs="Times New Roman"/>
            <w:sz w:val="24"/>
            <w:szCs w:val="24"/>
            <w:lang w:val="en-US"/>
          </w:rPr>
          <m:t>-1)</m:t>
        </m:r>
      </m:oMath>
      <w:r>
        <w:rPr>
          <w:rFonts w:ascii="Times New Roman" w:eastAsia="Times New Roman" w:hAnsi="Times New Roman" w:cs="Times New Roman"/>
          <w:sz w:val="24"/>
          <w:szCs w:val="24"/>
          <w:lang w:val="en-US"/>
        </w:rPr>
        <w:t xml:space="preserve"> = - 0.</w:t>
      </w:r>
      <w:r w:rsidRPr="006D693B">
        <w:rPr>
          <w:rFonts w:ascii="Times New Roman" w:eastAsia="Times New Roman" w:hAnsi="Times New Roman" w:cs="Times New Roman"/>
          <w:sz w:val="24"/>
          <w:szCs w:val="24"/>
          <w:lang w:val="en-US"/>
        </w:rPr>
        <w:t>252%</w:t>
      </w:r>
    </w:p>
    <w:p w:rsidR="00824C5D" w:rsidRPr="006D693B" w:rsidRDefault="00824C5D" w:rsidP="00824C5D">
      <w:pPr>
        <w:ind w:right="-1"/>
        <w:rPr>
          <w:rFonts w:ascii="Times New Roman" w:eastAsia="Times New Roman" w:hAnsi="Times New Roman" w:cs="Times New Roman"/>
          <w:sz w:val="24"/>
          <w:szCs w:val="24"/>
          <w:lang w:val="en-US"/>
        </w:rPr>
      </w:pPr>
    </w:p>
    <w:p w:rsidR="00824C5D" w:rsidRPr="006D693B" w:rsidRDefault="00824C5D" w:rsidP="00824C5D">
      <w:pPr>
        <w:spacing w:line="360" w:lineRule="auto"/>
        <w:ind w:right="-1" w:firstLine="851"/>
        <w:jc w:val="both"/>
        <w:rPr>
          <w:rFonts w:ascii="Times New Roman" w:eastAsia="Times New Roman" w:hAnsi="Times New Roman" w:cs="Times New Roman"/>
          <w:vanish/>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w:t>
      </w:r>
      <w:r w:rsidRPr="004F2436">
        <w:rPr>
          <w:rFonts w:ascii="Times New Roman" w:eastAsia="Times New Roman" w:hAnsi="Times New Roman" w:cs="Times New Roman"/>
          <w:sz w:val="24"/>
          <w:szCs w:val="24"/>
          <w:lang w:val="en-US"/>
        </w:rPr>
        <w:t>otice that the d</w:t>
      </w:r>
      <w:r>
        <w:rPr>
          <w:rFonts w:ascii="Times New Roman" w:eastAsia="Times New Roman" w:hAnsi="Times New Roman" w:cs="Times New Roman"/>
          <w:sz w:val="24"/>
          <w:szCs w:val="24"/>
          <w:lang w:val="en-US"/>
        </w:rPr>
        <w:t>ifference between the two approaches is relatively insignificant. This shows</w:t>
      </w:r>
      <w:r w:rsidR="00FA3E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that Brazil was in a period</w:t>
      </w:r>
      <w:r w:rsidRPr="004F2436">
        <w:rPr>
          <w:rFonts w:ascii="Times New Roman" w:eastAsia="Times New Roman" w:hAnsi="Times New Roman" w:cs="Times New Roman"/>
          <w:sz w:val="24"/>
          <w:szCs w:val="24"/>
          <w:lang w:val="en-US"/>
        </w:rPr>
        <w:t xml:space="preserve"> of st</w:t>
      </w:r>
      <w:r>
        <w:rPr>
          <w:rFonts w:ascii="Times New Roman" w:eastAsia="Times New Roman" w:hAnsi="Times New Roman" w:cs="Times New Roman"/>
          <w:sz w:val="24"/>
          <w:szCs w:val="24"/>
          <w:lang w:val="en-US"/>
        </w:rPr>
        <w:t>agnation, concerning the sustainability. Thus,</w:t>
      </w:r>
      <w:r w:rsidRPr="004F2436">
        <w:rPr>
          <w:rFonts w:ascii="Times New Roman" w:eastAsia="Times New Roman" w:hAnsi="Times New Roman" w:cs="Times New Roman"/>
          <w:sz w:val="24"/>
          <w:szCs w:val="24"/>
          <w:lang w:val="en-US"/>
        </w:rPr>
        <w:t xml:space="preserve"> the GDP </w:t>
      </w:r>
      <w:r w:rsidRPr="006D693B">
        <w:rPr>
          <w:rFonts w:ascii="Times New Roman" w:eastAsia="Times New Roman" w:hAnsi="Times New Roman" w:cs="Times New Roman"/>
          <w:i/>
          <w:sz w:val="24"/>
          <w:szCs w:val="24"/>
          <w:lang w:val="en-US"/>
        </w:rPr>
        <w:t>per capita</w:t>
      </w:r>
      <w:r>
        <w:rPr>
          <w:rFonts w:ascii="Times New Roman" w:eastAsia="Times New Roman" w:hAnsi="Times New Roman" w:cs="Times New Roman"/>
          <w:sz w:val="24"/>
          <w:szCs w:val="24"/>
          <w:lang w:val="en-US"/>
        </w:rPr>
        <w:t xml:space="preserve"> is</w:t>
      </w:r>
      <w:r w:rsidRPr="004F2436">
        <w:rPr>
          <w:rFonts w:ascii="Times New Roman" w:eastAsia="Times New Roman" w:hAnsi="Times New Roman" w:cs="Times New Roman"/>
          <w:sz w:val="24"/>
          <w:szCs w:val="24"/>
          <w:lang w:val="en-US"/>
        </w:rPr>
        <w:t xml:space="preserve"> a good proxy for the</w:t>
      </w:r>
      <w:r>
        <w:rPr>
          <w:rFonts w:ascii="Times New Roman" w:eastAsia="Times New Roman" w:hAnsi="Times New Roman" w:cs="Times New Roman"/>
          <w:sz w:val="24"/>
          <w:szCs w:val="24"/>
          <w:lang w:val="en-US"/>
        </w:rPr>
        <w:t xml:space="preserve"> social pillar</w:t>
      </w:r>
      <w:r w:rsidRPr="004F2436">
        <w:rPr>
          <w:rFonts w:ascii="Times New Roman" w:eastAsia="Times New Roman" w:hAnsi="Times New Roman" w:cs="Times New Roman"/>
          <w:sz w:val="24"/>
          <w:szCs w:val="24"/>
          <w:lang w:val="en-US"/>
        </w:rPr>
        <w:t>.</w:t>
      </w:r>
    </w:p>
    <w:p w:rsidR="00824C5D" w:rsidRDefault="00824C5D" w:rsidP="00824C5D">
      <w:pPr>
        <w:spacing w:line="360" w:lineRule="auto"/>
        <w:ind w:right="-1"/>
        <w:rPr>
          <w:rFonts w:ascii="Times New Roman" w:eastAsia="Times New Roman" w:hAnsi="Times New Roman" w:cs="Times New Roman"/>
          <w:sz w:val="24"/>
          <w:szCs w:val="24"/>
          <w:lang w:val="en-US"/>
        </w:rPr>
      </w:pPr>
    </w:p>
    <w:p w:rsidR="00824C5D" w:rsidRPr="002B239F" w:rsidRDefault="00824C5D" w:rsidP="00824C5D">
      <w:pPr>
        <w:ind w:right="-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3.1</w:t>
      </w:r>
      <w:r w:rsidRPr="002B239F">
        <w:rPr>
          <w:rFonts w:ascii="Times New Roman" w:eastAsia="Times New Roman" w:hAnsi="Times New Roman" w:cs="Times New Roman"/>
          <w:b/>
          <w:sz w:val="24"/>
          <w:szCs w:val="24"/>
          <w:lang w:val="en-US"/>
        </w:rPr>
        <w:t xml:space="preserve"> Hypercube</w:t>
      </w:r>
      <w:r>
        <w:rPr>
          <w:rFonts w:ascii="Times New Roman" w:eastAsia="Times New Roman" w:hAnsi="Times New Roman" w:cs="Times New Roman"/>
          <w:b/>
          <w:sz w:val="24"/>
          <w:szCs w:val="24"/>
          <w:lang w:val="en-US"/>
        </w:rPr>
        <w:t xml:space="preserve">: an alternative approach </w:t>
      </w:r>
    </w:p>
    <w:p w:rsidR="00824C5D" w:rsidRDefault="00824C5D" w:rsidP="00824C5D">
      <w:pPr>
        <w:spacing w:line="360" w:lineRule="auto"/>
        <w:ind w:right="-1"/>
        <w:rPr>
          <w:rFonts w:ascii="Times New Roman" w:eastAsia="Times New Roman" w:hAnsi="Times New Roman" w:cs="Times New Roman"/>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sidRPr="004F2436">
        <w:rPr>
          <w:rFonts w:ascii="Times New Roman" w:eastAsia="Times New Roman" w:hAnsi="Times New Roman" w:cs="Times New Roman"/>
          <w:sz w:val="24"/>
          <w:szCs w:val="24"/>
          <w:lang w:val="en-US"/>
        </w:rPr>
        <w:t>Another way to analyze the results achieved</w:t>
      </w:r>
      <w:r w:rsidR="009E7564">
        <w:rPr>
          <w:rFonts w:ascii="Times New Roman" w:eastAsia="Times New Roman" w:hAnsi="Times New Roman" w:cs="Times New Roman"/>
          <w:sz w:val="24"/>
          <w:szCs w:val="24"/>
          <w:lang w:val="en-US"/>
        </w:rPr>
        <w:t xml:space="preserve"> in the version of the Green Economy I</w:t>
      </w:r>
      <w:r w:rsidRPr="004F2436">
        <w:rPr>
          <w:rFonts w:ascii="Times New Roman" w:eastAsia="Times New Roman" w:hAnsi="Times New Roman" w:cs="Times New Roman"/>
          <w:sz w:val="24"/>
          <w:szCs w:val="24"/>
          <w:lang w:val="en-US"/>
        </w:rPr>
        <w:t>ndex, which uses the GDP per capita, would be the method adopted in Saavedra-Rivano &amp;</w:t>
      </w:r>
      <w:r w:rsidR="009E7564">
        <w:rPr>
          <w:rFonts w:ascii="Times New Roman" w:eastAsia="Times New Roman" w:hAnsi="Times New Roman" w:cs="Times New Roman"/>
          <w:sz w:val="24"/>
          <w:szCs w:val="24"/>
          <w:lang w:val="en-US"/>
        </w:rPr>
        <w:t xml:space="preserve">Teixeira (2016), </w:t>
      </w:r>
      <w:r>
        <w:rPr>
          <w:rFonts w:ascii="Times New Roman" w:eastAsia="Times New Roman" w:hAnsi="Times New Roman" w:cs="Times New Roman"/>
          <w:sz w:val="24"/>
          <w:szCs w:val="24"/>
          <w:lang w:val="en-US"/>
        </w:rPr>
        <w:t>named</w:t>
      </w:r>
      <w:r w:rsidRPr="004F2436">
        <w:rPr>
          <w:rFonts w:ascii="Times New Roman" w:eastAsia="Times New Roman" w:hAnsi="Times New Roman" w:cs="Times New Roman"/>
          <w:sz w:val="24"/>
          <w:szCs w:val="24"/>
          <w:lang w:val="en-US"/>
        </w:rPr>
        <w:t xml:space="preserve"> the Hypercube</w:t>
      </w:r>
      <w:r>
        <w:rPr>
          <w:rStyle w:val="Refdenotaderodap"/>
          <w:rFonts w:ascii="Times New Roman" w:eastAsia="Times New Roman" w:hAnsi="Times New Roman" w:cs="Times New Roman"/>
          <w:sz w:val="24"/>
          <w:szCs w:val="24"/>
          <w:lang w:val="en-US"/>
        </w:rPr>
        <w:footnoteReference w:id="2"/>
      </w:r>
      <w:r w:rsidRPr="004F2436">
        <w:rPr>
          <w:rFonts w:ascii="Times New Roman" w:eastAsia="Times New Roman" w:hAnsi="Times New Roman" w:cs="Times New Roman"/>
          <w:sz w:val="24"/>
          <w:szCs w:val="24"/>
          <w:lang w:val="en-US"/>
        </w:rPr>
        <w:t>.</w:t>
      </w:r>
      <w:r w:rsidR="009E7564">
        <w:rPr>
          <w:rFonts w:ascii="Times New Roman" w:eastAsia="Times New Roman" w:hAnsi="Times New Roman" w:cs="Times New Roman"/>
          <w:sz w:val="24"/>
          <w:szCs w:val="24"/>
          <w:lang w:val="en-US"/>
        </w:rPr>
        <w:t xml:space="preserve"> </w:t>
      </w:r>
      <w:r w:rsidRPr="004F2436">
        <w:rPr>
          <w:rFonts w:ascii="Times New Roman" w:eastAsia="Times New Roman" w:hAnsi="Times New Roman" w:cs="Times New Roman"/>
          <w:sz w:val="24"/>
          <w:szCs w:val="24"/>
          <w:lang w:val="en-US"/>
        </w:rPr>
        <w:t>Unlike the propo</w:t>
      </w:r>
      <w:r>
        <w:rPr>
          <w:rFonts w:ascii="Times New Roman" w:eastAsia="Times New Roman" w:hAnsi="Times New Roman" w:cs="Times New Roman"/>
          <w:sz w:val="24"/>
          <w:szCs w:val="24"/>
          <w:lang w:val="en-US"/>
        </w:rPr>
        <w:t>sal of this article, they</w:t>
      </w:r>
      <w:r w:rsidRPr="004F2436">
        <w:rPr>
          <w:rFonts w:ascii="Times New Roman" w:eastAsia="Times New Roman" w:hAnsi="Times New Roman" w:cs="Times New Roman"/>
          <w:sz w:val="24"/>
          <w:szCs w:val="24"/>
          <w:lang w:val="en-US"/>
        </w:rPr>
        <w:t xml:space="preserve"> chose to resolve the sorting problem of the Magic Square by </w:t>
      </w:r>
      <w:r>
        <w:rPr>
          <w:rFonts w:ascii="Times New Roman" w:eastAsia="Times New Roman" w:hAnsi="Times New Roman" w:cs="Times New Roman"/>
          <w:sz w:val="24"/>
          <w:szCs w:val="24"/>
          <w:lang w:val="en-US"/>
        </w:rPr>
        <w:t xml:space="preserve">calculating </w:t>
      </w:r>
      <w:r w:rsidRPr="004F2436">
        <w:rPr>
          <w:rFonts w:ascii="Times New Roman" w:eastAsia="Times New Roman" w:hAnsi="Times New Roman" w:cs="Times New Roman"/>
          <w:sz w:val="24"/>
          <w:szCs w:val="24"/>
          <w:lang w:val="en-US"/>
        </w:rPr>
        <w:t>the volume of a hypercube</w:t>
      </w:r>
      <w:r>
        <w:rPr>
          <w:rFonts w:ascii="Times New Roman" w:eastAsia="Times New Roman" w:hAnsi="Times New Roman" w:cs="Times New Roman"/>
          <w:sz w:val="24"/>
          <w:szCs w:val="24"/>
          <w:lang w:val="en-US"/>
        </w:rPr>
        <w:t>.</w:t>
      </w:r>
    </w:p>
    <w:p w:rsidR="00824C5D" w:rsidRPr="00965BE1" w:rsidRDefault="00824C5D" w:rsidP="00824C5D">
      <w:pPr>
        <w:spacing w:line="360" w:lineRule="auto"/>
        <w:ind w:right="-1" w:firstLine="851"/>
        <w:jc w:val="both"/>
        <w:rPr>
          <w:rFonts w:ascii="Times New Roman" w:hAnsi="Times New Roman" w:cs="Times New Roman"/>
          <w:vanish/>
          <w:sz w:val="24"/>
          <w:szCs w:val="24"/>
          <w:lang w:val="en-US"/>
        </w:rPr>
      </w:pPr>
      <w:r>
        <w:rPr>
          <w:rFonts w:ascii="Times New Roman" w:eastAsia="Times New Roman" w:hAnsi="Times New Roman" w:cs="Times New Roman"/>
          <w:sz w:val="24"/>
          <w:szCs w:val="24"/>
          <w:lang w:val="en-US"/>
        </w:rPr>
        <w:t>Notice</w:t>
      </w:r>
      <w:r w:rsidRPr="004F2436">
        <w:rPr>
          <w:rFonts w:ascii="Times New Roman" w:eastAsia="Times New Roman" w:hAnsi="Times New Roman" w:cs="Times New Roman"/>
          <w:sz w:val="24"/>
          <w:szCs w:val="24"/>
          <w:lang w:val="en-US"/>
        </w:rPr>
        <w:t xml:space="preserve"> that, by stipulating three pillars, as is the case of the index calculated in the present work, the volume of a cube is obtained.</w:t>
      </w:r>
      <w:r w:rsidR="00FA3EA9">
        <w:rPr>
          <w:rFonts w:ascii="Times New Roman" w:eastAsia="Times New Roman" w:hAnsi="Times New Roman" w:cs="Times New Roman"/>
          <w:sz w:val="24"/>
          <w:szCs w:val="24"/>
          <w:lang w:val="en-US"/>
        </w:rPr>
        <w:t xml:space="preserve"> </w:t>
      </w:r>
      <w:r w:rsidRPr="001C6273">
        <w:rPr>
          <w:rFonts w:ascii="Times New Roman" w:eastAsia="Times New Roman" w:hAnsi="Times New Roman" w:cs="Times New Roman"/>
          <w:sz w:val="24"/>
          <w:szCs w:val="24"/>
          <w:lang w:val="en-US"/>
        </w:rPr>
        <w:t>As o</w:t>
      </w:r>
      <w:r>
        <w:rPr>
          <w:rFonts w:ascii="Times New Roman" w:eastAsia="Times New Roman" w:hAnsi="Times New Roman" w:cs="Times New Roman"/>
          <w:sz w:val="24"/>
          <w:szCs w:val="24"/>
          <w:lang w:val="en-US"/>
        </w:rPr>
        <w:t>nly the rate of change</w:t>
      </w:r>
      <w:r w:rsidRPr="001C6273">
        <w:rPr>
          <w:rFonts w:ascii="Times New Roman" w:eastAsia="Times New Roman" w:hAnsi="Times New Roman" w:cs="Times New Roman"/>
          <w:sz w:val="24"/>
          <w:szCs w:val="24"/>
          <w:lang w:val="en-US"/>
        </w:rPr>
        <w:t xml:space="preserve"> between the periods is analyzed, it is possible to compare the values</w:t>
      </w:r>
      <w:r>
        <w:rPr>
          <w:rFonts w:ascii="Times New Roman" w:eastAsia="Times New Roman" w:hAnsi="Times New Roman" w:cs="Times New Roman"/>
          <w:sz w:val="24"/>
          <w:szCs w:val="24"/>
          <w:lang w:val="en-US"/>
        </w:rPr>
        <w:t xml:space="preserve"> found by the two methodologies</w:t>
      </w:r>
      <w:r w:rsidRPr="001C6273">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1C6273">
        <w:rPr>
          <w:rFonts w:ascii="Times New Roman" w:eastAsia="Times New Roman" w:hAnsi="Times New Roman" w:cs="Times New Roman"/>
          <w:sz w:val="24"/>
          <w:szCs w:val="24"/>
          <w:lang w:val="en-US"/>
        </w:rPr>
        <w:t>In this way, the following equation is u</w:t>
      </w:r>
      <w:r w:rsidR="00406A7A">
        <w:rPr>
          <w:rFonts w:ascii="Times New Roman" w:eastAsia="Times New Roman" w:hAnsi="Times New Roman" w:cs="Times New Roman"/>
          <w:sz w:val="24"/>
          <w:szCs w:val="24"/>
          <w:lang w:val="en-US"/>
        </w:rPr>
        <w:t>sed</w:t>
      </w:r>
      <w:r>
        <w:rPr>
          <w:rFonts w:ascii="Times New Roman" w:eastAsia="Times New Roman" w:hAnsi="Times New Roman" w:cs="Times New Roman"/>
          <w:sz w:val="24"/>
          <w:szCs w:val="24"/>
          <w:lang w:val="en-US"/>
        </w:rPr>
        <w:t>:</w:t>
      </w:r>
    </w:p>
    <w:p w:rsidR="00824C5D" w:rsidRDefault="00824C5D" w:rsidP="00824C5D">
      <w:pPr>
        <w:ind w:right="-1"/>
        <w:rPr>
          <w:rFonts w:ascii="Times New Roman" w:eastAsia="Times New Roman" w:hAnsi="Times New Roman" w:cs="Times New Roman"/>
          <w:sz w:val="24"/>
          <w:szCs w:val="24"/>
          <w:lang w:val="en-US"/>
        </w:rPr>
      </w:pPr>
    </w:p>
    <w:tbl>
      <w:tblPr>
        <w:tblW w:w="8522" w:type="dxa"/>
        <w:tblLook w:val="04A0" w:firstRow="1" w:lastRow="0" w:firstColumn="1" w:lastColumn="0" w:noHBand="0" w:noVBand="1"/>
      </w:tblPr>
      <w:tblGrid>
        <w:gridCol w:w="565"/>
        <w:gridCol w:w="7341"/>
        <w:gridCol w:w="616"/>
      </w:tblGrid>
      <w:tr w:rsidR="00824C5D" w:rsidRPr="003C6E7E" w:rsidTr="00582A1A">
        <w:trPr>
          <w:trHeight w:val="324"/>
        </w:trPr>
        <w:tc>
          <w:tcPr>
            <w:tcW w:w="565" w:type="dxa"/>
          </w:tcPr>
          <w:p w:rsidR="00824C5D" w:rsidRPr="007414BE" w:rsidRDefault="00824C5D" w:rsidP="00582A1A">
            <w:pPr>
              <w:spacing w:line="360" w:lineRule="auto"/>
              <w:ind w:right="-1"/>
              <w:jc w:val="both"/>
              <w:rPr>
                <w:lang w:val="en-US"/>
              </w:rPr>
            </w:pPr>
          </w:p>
        </w:tc>
        <w:tc>
          <w:tcPr>
            <w:tcW w:w="7341" w:type="dxa"/>
          </w:tcPr>
          <w:p w:rsidR="00824C5D" w:rsidRPr="007414BE" w:rsidRDefault="00824C5D" w:rsidP="00582A1A">
            <w:pPr>
              <w:spacing w:line="360" w:lineRule="auto"/>
              <w:ind w:right="-1" w:firstLine="709"/>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V=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z</m:t>
                    </m:r>
                  </m:e>
                  <m:sup>
                    <m:r>
                      <w:rPr>
                        <w:rFonts w:ascii="Cambria Math" w:eastAsia="Times New Roman" w:hAnsi="Cambria Math" w:cs="Times New Roman"/>
                        <w:sz w:val="24"/>
                        <w:szCs w:val="24"/>
                      </w:rPr>
                      <m:t>3</m:t>
                    </m:r>
                  </m:sup>
                </m:sSup>
              </m:oMath>
            </m:oMathPara>
          </w:p>
          <w:p w:rsidR="00824C5D" w:rsidRPr="003C6E7E" w:rsidRDefault="00824C5D" w:rsidP="00582A1A">
            <w:pPr>
              <w:spacing w:line="360" w:lineRule="auto"/>
              <w:ind w:right="-1"/>
              <w:jc w:val="center"/>
            </w:pPr>
          </w:p>
        </w:tc>
        <w:tc>
          <w:tcPr>
            <w:tcW w:w="616" w:type="dxa"/>
          </w:tcPr>
          <w:p w:rsidR="00824C5D" w:rsidRPr="007414BE" w:rsidRDefault="00824C5D" w:rsidP="00582A1A">
            <w:pPr>
              <w:spacing w:line="360" w:lineRule="auto"/>
              <w:ind w:right="-1"/>
              <w:jc w:val="both"/>
              <w:rPr>
                <w:rFonts w:ascii="Times New Roman" w:hAnsi="Times New Roman" w:cs="Times New Roman"/>
                <w:sz w:val="24"/>
                <w:szCs w:val="24"/>
              </w:rPr>
            </w:pPr>
            <w:r w:rsidRPr="007414BE">
              <w:rPr>
                <w:rFonts w:ascii="Times New Roman" w:hAnsi="Times New Roman" w:cs="Times New Roman"/>
                <w:sz w:val="24"/>
                <w:szCs w:val="24"/>
              </w:rPr>
              <w:t>(13)</w:t>
            </w:r>
          </w:p>
        </w:tc>
      </w:tr>
    </w:tbl>
    <w:p w:rsidR="00824C5D" w:rsidRDefault="00824C5D" w:rsidP="00824C5D">
      <w:pPr>
        <w:spacing w:line="360" w:lineRule="auto"/>
        <w:ind w:right="-1"/>
        <w:jc w:val="both"/>
        <w:rPr>
          <w:rFonts w:ascii="Times New Roman" w:eastAsia="Times New Roman" w:hAnsi="Times New Roman" w:cs="Times New Roman"/>
          <w:sz w:val="24"/>
          <w:szCs w:val="24"/>
          <w:lang w:val="en-US"/>
        </w:rPr>
      </w:pPr>
      <w:r w:rsidRPr="001C6273">
        <w:rPr>
          <w:rFonts w:ascii="Times New Roman" w:eastAsia="Times New Roman" w:hAnsi="Times New Roman" w:cs="Times New Roman"/>
          <w:sz w:val="24"/>
          <w:szCs w:val="24"/>
          <w:lang w:val="en-US"/>
        </w:rPr>
        <w:t>being z the edge of the cube, which corresponds to the value of each variable.</w:t>
      </w:r>
      <w:r w:rsidR="00582A1A">
        <w:rPr>
          <w:rFonts w:ascii="Times New Roman" w:eastAsia="Times New Roman" w:hAnsi="Times New Roman" w:cs="Times New Roman"/>
          <w:sz w:val="24"/>
          <w:szCs w:val="24"/>
          <w:lang w:val="en-US"/>
        </w:rPr>
        <w:t xml:space="preserve"> </w:t>
      </w:r>
      <w:r w:rsidRPr="001C6273">
        <w:rPr>
          <w:rFonts w:ascii="Times New Roman" w:eastAsia="Times New Roman" w:hAnsi="Times New Roman" w:cs="Times New Roman"/>
          <w:sz w:val="24"/>
          <w:szCs w:val="24"/>
          <w:lang w:val="en-US"/>
        </w:rPr>
        <w:t>In this method, it is also used the concept of “country ideal”, in that all the compon</w:t>
      </w:r>
      <w:r>
        <w:rPr>
          <w:rFonts w:ascii="Times New Roman" w:eastAsia="Times New Roman" w:hAnsi="Times New Roman" w:cs="Times New Roman"/>
          <w:sz w:val="24"/>
          <w:szCs w:val="24"/>
          <w:lang w:val="en-US"/>
        </w:rPr>
        <w:t xml:space="preserve">ents would have the same value </w:t>
      </w:r>
      <w:r w:rsidRPr="001C6273">
        <w:rPr>
          <w:rFonts w:ascii="Times New Roman" w:eastAsia="Times New Roman" w:hAnsi="Times New Roman" w:cs="Times New Roman"/>
          <w:sz w:val="24"/>
          <w:szCs w:val="24"/>
          <w:lang w:val="en-US"/>
        </w:rPr>
        <w:t>when normalized.</w:t>
      </w:r>
      <w:r w:rsidR="00FA3EA9">
        <w:rPr>
          <w:rFonts w:ascii="Times New Roman" w:eastAsia="Times New Roman" w:hAnsi="Times New Roman" w:cs="Times New Roman"/>
          <w:sz w:val="24"/>
          <w:szCs w:val="24"/>
          <w:lang w:val="en-US"/>
        </w:rPr>
        <w:t xml:space="preserve"> </w:t>
      </w:r>
      <w:r w:rsidRPr="001C6273">
        <w:rPr>
          <w:rFonts w:ascii="Times New Roman" w:eastAsia="Times New Roman" w:hAnsi="Times New Roman" w:cs="Times New Roman"/>
          <w:sz w:val="24"/>
          <w:szCs w:val="24"/>
          <w:lang w:val="en-US"/>
        </w:rPr>
        <w:t>In addition, it should be noted that V va</w:t>
      </w:r>
      <w:r>
        <w:rPr>
          <w:rFonts w:ascii="Times New Roman" w:eastAsia="Times New Roman" w:hAnsi="Times New Roman" w:cs="Times New Roman"/>
          <w:sz w:val="24"/>
          <w:szCs w:val="24"/>
          <w:lang w:val="en-US"/>
        </w:rPr>
        <w:t>ries between 0 and 1, as in</w:t>
      </w:r>
      <w:r w:rsidRPr="001C6273">
        <w:rPr>
          <w:rFonts w:ascii="Times New Roman" w:eastAsia="Times New Roman" w:hAnsi="Times New Roman" w:cs="Times New Roman"/>
          <w:sz w:val="24"/>
          <w:szCs w:val="24"/>
          <w:lang w:val="en-US"/>
        </w:rPr>
        <w:t xml:space="preserve"> the Magic Triangle.</w:t>
      </w:r>
      <w:r>
        <w:rPr>
          <w:rFonts w:ascii="Times New Roman" w:eastAsia="Times New Roman" w:hAnsi="Times New Roman" w:cs="Times New Roman"/>
          <w:sz w:val="24"/>
          <w:szCs w:val="24"/>
          <w:lang w:val="en-US"/>
        </w:rPr>
        <w:t xml:space="preserve"> Table 7 shows the results:</w:t>
      </w:r>
    </w:p>
    <w:p w:rsidR="00824C5D" w:rsidRDefault="00824C5D" w:rsidP="00824C5D">
      <w:pPr>
        <w:spacing w:line="360" w:lineRule="auto"/>
        <w:ind w:right="-1"/>
        <w:jc w:val="both"/>
        <w:rPr>
          <w:rFonts w:ascii="Times New Roman" w:eastAsia="Times New Roman" w:hAnsi="Times New Roman" w:cs="Times New Roman"/>
          <w:sz w:val="24"/>
          <w:szCs w:val="24"/>
          <w:lang w:val="en-US"/>
        </w:rPr>
      </w:pPr>
    </w:p>
    <w:tbl>
      <w:tblPr>
        <w:tblW w:w="4620" w:type="dxa"/>
        <w:jc w:val="center"/>
        <w:tblCellMar>
          <w:left w:w="70" w:type="dxa"/>
          <w:right w:w="70" w:type="dxa"/>
        </w:tblCellMar>
        <w:tblLook w:val="04A0" w:firstRow="1" w:lastRow="0" w:firstColumn="1" w:lastColumn="0" w:noHBand="0" w:noVBand="1"/>
      </w:tblPr>
      <w:tblGrid>
        <w:gridCol w:w="1457"/>
        <w:gridCol w:w="2162"/>
        <w:gridCol w:w="1001"/>
      </w:tblGrid>
      <w:tr w:rsidR="00824C5D" w:rsidRPr="00902BCA" w:rsidTr="00582A1A">
        <w:trPr>
          <w:trHeight w:val="315"/>
          <w:jc w:val="center"/>
        </w:trPr>
        <w:tc>
          <w:tcPr>
            <w:tcW w:w="4620" w:type="dxa"/>
            <w:gridSpan w:val="3"/>
            <w:tcBorders>
              <w:top w:val="nil"/>
              <w:left w:val="nil"/>
              <w:bottom w:val="nil"/>
              <w:right w:val="nil"/>
            </w:tcBorders>
            <w:shd w:val="clear" w:color="auto" w:fill="auto"/>
            <w:noWrap/>
            <w:vAlign w:val="center"/>
            <w:hideMark/>
          </w:tcPr>
          <w:p w:rsidR="00824C5D" w:rsidRPr="00425AB5" w:rsidRDefault="00824C5D" w:rsidP="00582A1A">
            <w:pPr>
              <w:ind w:left="-169" w:right="-1"/>
              <w:jc w:val="center"/>
              <w:rPr>
                <w:rFonts w:ascii="Times New Roman" w:eastAsia="Times New Roman" w:hAnsi="Times New Roman" w:cs="Times New Roman"/>
                <w:b/>
                <w:bCs/>
                <w:color w:val="000000"/>
                <w:sz w:val="22"/>
                <w:szCs w:val="22"/>
                <w:lang w:val="en-US"/>
              </w:rPr>
            </w:pPr>
            <w:r w:rsidRPr="00425AB5">
              <w:rPr>
                <w:rFonts w:ascii="Times New Roman" w:eastAsia="Times New Roman" w:hAnsi="Times New Roman" w:cs="Times New Roman"/>
                <w:b/>
                <w:bCs/>
                <w:color w:val="000000"/>
                <w:sz w:val="22"/>
                <w:szCs w:val="22"/>
                <w:lang w:val="en-US"/>
              </w:rPr>
              <w:t xml:space="preserve">Table 7- </w:t>
            </w:r>
            <w:r w:rsidRPr="00425AB5">
              <w:rPr>
                <w:rFonts w:ascii="Times New Roman" w:eastAsia="Times New Roman" w:hAnsi="Times New Roman" w:cs="Times New Roman"/>
                <w:b/>
                <w:iCs/>
                <w:color w:val="000000"/>
                <w:sz w:val="22"/>
                <w:szCs w:val="22"/>
                <w:lang w:val="en-US"/>
              </w:rPr>
              <w:t>Green Economy Index</w:t>
            </w:r>
            <w:r w:rsidRPr="00425AB5">
              <w:rPr>
                <w:rFonts w:ascii="Times New Roman" w:eastAsia="Times New Roman" w:hAnsi="Times New Roman" w:cs="Times New Roman"/>
                <w:b/>
                <w:color w:val="000000"/>
                <w:sz w:val="22"/>
                <w:szCs w:val="22"/>
                <w:lang w:val="en-US"/>
              </w:rPr>
              <w:t>(Hypercube)</w:t>
            </w:r>
          </w:p>
        </w:tc>
      </w:tr>
      <w:tr w:rsidR="00824C5D" w:rsidRPr="003C6E7E" w:rsidTr="00582A1A">
        <w:trPr>
          <w:trHeight w:val="725"/>
          <w:jc w:val="center"/>
        </w:trPr>
        <w:tc>
          <w:tcPr>
            <w:tcW w:w="1457"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Period</w:t>
            </w:r>
          </w:p>
        </w:tc>
        <w:tc>
          <w:tcPr>
            <w:tcW w:w="2162" w:type="dxa"/>
            <w:tcBorders>
              <w:top w:val="single" w:sz="4" w:space="0" w:color="auto"/>
              <w:left w:val="nil"/>
              <w:bottom w:val="single" w:sz="4" w:space="0" w:color="auto"/>
              <w:right w:val="nil"/>
            </w:tcBorders>
            <w:shd w:val="clear" w:color="auto" w:fill="auto"/>
            <w:vAlign w:val="center"/>
            <w:hideMark/>
          </w:tcPr>
          <w:p w:rsidR="00824C5D" w:rsidRPr="002B239F" w:rsidRDefault="00824C5D" w:rsidP="00582A1A">
            <w:pPr>
              <w:ind w:right="-1"/>
              <w:jc w:val="center"/>
              <w:rPr>
                <w:rFonts w:ascii="Times New Roman" w:eastAsia="Times New Roman" w:hAnsi="Times New Roman" w:cs="Times New Roman"/>
                <w:iCs/>
                <w:sz w:val="24"/>
                <w:szCs w:val="24"/>
              </w:rPr>
            </w:pPr>
            <w:r w:rsidRPr="002B239F">
              <w:rPr>
                <w:rFonts w:ascii="Times New Roman" w:eastAsia="Times New Roman" w:hAnsi="Times New Roman" w:cs="Times New Roman"/>
                <w:iCs/>
                <w:sz w:val="24"/>
                <w:szCs w:val="24"/>
              </w:rPr>
              <w:t>Green Economy Index</w:t>
            </w:r>
          </w:p>
        </w:tc>
        <w:tc>
          <w:tcPr>
            <w:tcW w:w="1001" w:type="dxa"/>
            <w:tcBorders>
              <w:top w:val="single" w:sz="4" w:space="0" w:color="auto"/>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Ideal</w:t>
            </w:r>
          </w:p>
        </w:tc>
      </w:tr>
      <w:tr w:rsidR="00824C5D" w:rsidRPr="003C6E7E" w:rsidTr="00582A1A">
        <w:trPr>
          <w:trHeight w:val="315"/>
          <w:jc w:val="center"/>
        </w:trPr>
        <w:tc>
          <w:tcPr>
            <w:tcW w:w="1457" w:type="dxa"/>
            <w:tcBorders>
              <w:top w:val="single" w:sz="4" w:space="0" w:color="auto"/>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sidRPr="003C6E7E">
              <w:rPr>
                <w:rFonts w:ascii="Times New Roman" w:eastAsia="Times New Roman" w:hAnsi="Times New Roman" w:cs="Times New Roman"/>
                <w:sz w:val="24"/>
                <w:szCs w:val="24"/>
              </w:rPr>
              <w:t>2001-07</w:t>
            </w:r>
          </w:p>
        </w:tc>
        <w:tc>
          <w:tcPr>
            <w:tcW w:w="2162"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143</w:t>
            </w:r>
          </w:p>
        </w:tc>
        <w:tc>
          <w:tcPr>
            <w:tcW w:w="1001" w:type="dxa"/>
            <w:tcBorders>
              <w:top w:val="nil"/>
              <w:left w:val="nil"/>
              <w:bottom w:val="nil"/>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C6E7E">
              <w:rPr>
                <w:rFonts w:ascii="Times New Roman" w:eastAsia="Times New Roman" w:hAnsi="Times New Roman" w:cs="Times New Roman"/>
                <w:sz w:val="24"/>
                <w:szCs w:val="24"/>
              </w:rPr>
              <w:t>000</w:t>
            </w:r>
          </w:p>
        </w:tc>
      </w:tr>
      <w:tr w:rsidR="00824C5D" w:rsidRPr="003C6E7E" w:rsidTr="00582A1A">
        <w:trPr>
          <w:trHeight w:val="315"/>
          <w:jc w:val="center"/>
        </w:trPr>
        <w:tc>
          <w:tcPr>
            <w:tcW w:w="1457"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r w:rsidRPr="003C6E7E">
              <w:rPr>
                <w:rFonts w:ascii="Times New Roman" w:eastAsia="Times New Roman" w:hAnsi="Times New Roman" w:cs="Times New Roman"/>
                <w:sz w:val="24"/>
                <w:szCs w:val="24"/>
              </w:rPr>
              <w:t>-14</w:t>
            </w:r>
          </w:p>
        </w:tc>
        <w:tc>
          <w:tcPr>
            <w:tcW w:w="2162"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3C6E7E">
              <w:rPr>
                <w:rFonts w:ascii="Times New Roman" w:eastAsia="Times New Roman" w:hAnsi="Times New Roman" w:cs="Times New Roman"/>
                <w:sz w:val="24"/>
                <w:szCs w:val="24"/>
              </w:rPr>
              <w:t>137</w:t>
            </w:r>
          </w:p>
        </w:tc>
        <w:tc>
          <w:tcPr>
            <w:tcW w:w="1001" w:type="dxa"/>
            <w:tcBorders>
              <w:top w:val="nil"/>
              <w:left w:val="nil"/>
              <w:bottom w:val="single" w:sz="4" w:space="0" w:color="auto"/>
              <w:right w:val="nil"/>
            </w:tcBorders>
            <w:shd w:val="clear" w:color="auto" w:fill="auto"/>
            <w:noWrap/>
            <w:vAlign w:val="center"/>
            <w:hideMark/>
          </w:tcPr>
          <w:p w:rsidR="00824C5D" w:rsidRPr="003C6E7E" w:rsidRDefault="00824C5D" w:rsidP="00582A1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C6E7E">
              <w:rPr>
                <w:rFonts w:ascii="Times New Roman" w:eastAsia="Times New Roman" w:hAnsi="Times New Roman" w:cs="Times New Roman"/>
                <w:sz w:val="24"/>
                <w:szCs w:val="24"/>
              </w:rPr>
              <w:t>000</w:t>
            </w:r>
          </w:p>
        </w:tc>
      </w:tr>
    </w:tbl>
    <w:p w:rsidR="00824C5D" w:rsidRDefault="00824C5D" w:rsidP="00824C5D">
      <w:pPr>
        <w:ind w:right="-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00582A1A">
        <w:rPr>
          <w:rFonts w:ascii="Times New Roman" w:eastAsia="Times New Roman" w:hAnsi="Times New Roman" w:cs="Times New Roman"/>
          <w:sz w:val="24"/>
          <w:szCs w:val="24"/>
          <w:lang w:val="en-US"/>
        </w:rPr>
        <w:t xml:space="preserve">         </w:t>
      </w:r>
      <w:r w:rsidRPr="00BF5960">
        <w:rPr>
          <w:rFonts w:ascii="Times New Roman" w:hAnsi="Times New Roman" w:cs="Times New Roman"/>
          <w:lang w:val="en-US"/>
        </w:rPr>
        <w:t>Source: the author</w:t>
      </w:r>
      <w:r>
        <w:rPr>
          <w:rFonts w:ascii="Times New Roman" w:hAnsi="Times New Roman" w:cs="Times New Roman"/>
          <w:lang w:val="en-US"/>
        </w:rPr>
        <w:t>s</w:t>
      </w:r>
    </w:p>
    <w:p w:rsidR="00824C5D" w:rsidRDefault="00824C5D" w:rsidP="00824C5D">
      <w:pPr>
        <w:spacing w:line="360" w:lineRule="auto"/>
        <w:ind w:right="-1"/>
        <w:rPr>
          <w:rFonts w:ascii="Times New Roman" w:eastAsia="Times New Roman" w:hAnsi="Times New Roman" w:cs="Times New Roman"/>
          <w:sz w:val="24"/>
          <w:szCs w:val="24"/>
          <w:lang w:val="en-US"/>
        </w:rPr>
      </w:pPr>
    </w:p>
    <w:p w:rsidR="00824C5D" w:rsidRPr="004F2436" w:rsidRDefault="00824C5D" w:rsidP="00824C5D">
      <w:pPr>
        <w:spacing w:line="360" w:lineRule="auto"/>
        <w:ind w:right="-1" w:firstLine="851"/>
        <w:jc w:val="both"/>
        <w:rPr>
          <w:rFonts w:ascii="Times New Roman" w:eastAsia="Times New Roman" w:hAnsi="Times New Roman" w:cs="Times New Roman"/>
          <w:sz w:val="24"/>
          <w:szCs w:val="24"/>
          <w:lang w:val="en-US"/>
        </w:rPr>
      </w:pPr>
      <w:r w:rsidRPr="001C6273">
        <w:rPr>
          <w:rFonts w:ascii="Times New Roman" w:eastAsia="Times New Roman" w:hAnsi="Times New Roman" w:cs="Times New Roman"/>
          <w:sz w:val="24"/>
          <w:szCs w:val="24"/>
          <w:lang w:val="en-US"/>
        </w:rPr>
        <w:t>From the values present in the Table 7, it is possible to calculate the rate of change between the periods by means of (12):</w:t>
      </w:r>
    </w:p>
    <w:p w:rsidR="00824C5D" w:rsidRDefault="00824C5D" w:rsidP="00824C5D">
      <w:pPr>
        <w:ind w:right="-1"/>
        <w:rPr>
          <w:rFonts w:ascii="Times New Roman" w:eastAsia="Times New Roman" w:hAnsi="Times New Roman" w:cs="Times New Roman"/>
          <w:sz w:val="24"/>
          <w:szCs w:val="24"/>
          <w:lang w:val="en-US"/>
        </w:rPr>
      </w:pPr>
    </w:p>
    <w:p w:rsidR="00824C5D" w:rsidRPr="00CB39EC" w:rsidRDefault="00824C5D" w:rsidP="00824C5D">
      <w:pPr>
        <w:ind w:right="-1"/>
        <w:jc w:val="center"/>
        <w:rPr>
          <w:rFonts w:eastAsia="Times New Roman" w:cs="Calibri"/>
          <w:color w:val="FFFFFF"/>
          <w:sz w:val="22"/>
          <w:szCs w:val="22"/>
          <w:lang w:val="en-US"/>
        </w:rPr>
      </w:pPr>
      <m:oMath>
        <m:r>
          <w:rPr>
            <w:rFonts w:ascii="Cambria Math" w:eastAsia="Times New Roman" w:hAnsi="Cambria Math" w:cs="Times New Roman"/>
            <w:sz w:val="24"/>
            <w:szCs w:val="24"/>
            <w:lang w:val="en-US"/>
          </w:rPr>
          <m:t>variation=100∙(</m:t>
        </m:r>
        <m:rad>
          <m:radPr>
            <m:ctrlPr>
              <w:rPr>
                <w:rFonts w:ascii="Cambria Math" w:eastAsia="Times New Roman" w:hAnsi="Cambria Math" w:cs="Times New Roman"/>
                <w:i/>
                <w:sz w:val="24"/>
                <w:szCs w:val="24"/>
                <w:lang w:val="en-US"/>
              </w:rPr>
            </m:ctrlPr>
          </m:radPr>
          <m:deg>
            <m:r>
              <w:rPr>
                <w:rFonts w:ascii="Cambria Math" w:eastAsia="Times New Roman" w:hAnsi="Cambria Math" w:cs="Times New Roman"/>
                <w:sz w:val="24"/>
                <w:szCs w:val="24"/>
                <w:lang w:val="en-US"/>
              </w:rPr>
              <m:t>7</m:t>
            </m:r>
          </m:deg>
          <m:e>
            <m:f>
              <m:fPr>
                <m:ctrlPr>
                  <w:rPr>
                    <w:rFonts w:ascii="Cambria Math" w:eastAsia="Times New Roman" w:hAnsi="Cambria Math" w:cs="Times New Roman"/>
                    <w:i/>
                    <w:sz w:val="24"/>
                    <w:szCs w:val="24"/>
                    <w:lang w:val="en-US"/>
                  </w:rPr>
                </m:ctrlPr>
              </m:fPr>
              <m:num>
                <m:r>
                  <m:rPr>
                    <m:sty m:val="p"/>
                  </m:rPr>
                  <w:rPr>
                    <w:rFonts w:ascii="Cambria Math" w:eastAsia="Times New Roman" w:hAnsi="Cambria Math" w:cs="Times New Roman"/>
                    <w:sz w:val="24"/>
                    <w:szCs w:val="24"/>
                    <w:lang w:val="en-US"/>
                  </w:rPr>
                  <m:t>0,137</m:t>
                </m:r>
              </m:num>
              <m:den>
                <m:r>
                  <m:rPr>
                    <m:sty m:val="p"/>
                  </m:rPr>
                  <w:rPr>
                    <w:rFonts w:ascii="Cambria Math" w:eastAsia="Times New Roman" w:hAnsi="Cambria Math" w:cs="Times New Roman"/>
                    <w:sz w:val="24"/>
                    <w:szCs w:val="24"/>
                    <w:lang w:val="en-US"/>
                  </w:rPr>
                  <m:t>0,143</m:t>
                </m:r>
              </m:den>
            </m:f>
          </m:e>
        </m:rad>
        <m:r>
          <w:rPr>
            <w:rFonts w:ascii="Cambria Math" w:eastAsia="Times New Roman" w:hAnsi="Cambria Math" w:cs="Times New Roman"/>
            <w:sz w:val="24"/>
            <w:szCs w:val="24"/>
            <w:lang w:val="en-US"/>
          </w:rPr>
          <m:t>-1)</m:t>
        </m:r>
      </m:oMath>
      <w:r w:rsidRPr="00CB39EC">
        <w:rPr>
          <w:rFonts w:ascii="Times New Roman" w:eastAsia="Times New Roman" w:hAnsi="Times New Roman" w:cs="Times New Roman"/>
          <w:sz w:val="24"/>
          <w:szCs w:val="24"/>
          <w:lang w:val="en-US"/>
        </w:rPr>
        <w:t xml:space="preserve"> = </w:t>
      </w:r>
      <w:r>
        <w:rPr>
          <w:rFonts w:eastAsia="Times New Roman" w:cs="Calibri"/>
          <w:sz w:val="22"/>
          <w:szCs w:val="22"/>
          <w:lang w:val="en-US"/>
        </w:rPr>
        <w:t>-0.</w:t>
      </w:r>
      <w:r w:rsidRPr="00CB39EC">
        <w:rPr>
          <w:rFonts w:eastAsia="Times New Roman" w:cs="Calibri"/>
          <w:sz w:val="22"/>
          <w:szCs w:val="22"/>
          <w:lang w:val="en-US"/>
        </w:rPr>
        <w:t xml:space="preserve">559 </w:t>
      </w:r>
      <w:r w:rsidRPr="00CB39EC">
        <w:rPr>
          <w:rFonts w:ascii="Times New Roman" w:eastAsia="Times New Roman" w:hAnsi="Times New Roman" w:cs="Times New Roman"/>
          <w:sz w:val="24"/>
          <w:szCs w:val="24"/>
          <w:lang w:val="en-US"/>
        </w:rPr>
        <w:t>%</w:t>
      </w:r>
    </w:p>
    <w:p w:rsidR="00824C5D" w:rsidRDefault="00824C5D" w:rsidP="00824C5D">
      <w:pPr>
        <w:ind w:right="-1"/>
        <w:rPr>
          <w:rFonts w:ascii="Times New Roman" w:eastAsia="Times New Roman" w:hAnsi="Times New Roman" w:cs="Times New Roman"/>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Comparing</w:t>
      </w:r>
      <w:r w:rsidRPr="001C6273">
        <w:rPr>
          <w:rFonts w:ascii="Times New Roman" w:eastAsia="Times New Roman" w:hAnsi="Times New Roman" w:cs="Times New Roman"/>
          <w:sz w:val="24"/>
          <w:szCs w:val="24"/>
          <w:lang w:val="en-US"/>
        </w:rPr>
        <w:t xml:space="preserve"> the results obtained between the Hypercube and the Magic Triangle, </w:t>
      </w:r>
      <w:r>
        <w:rPr>
          <w:rFonts w:ascii="Times New Roman" w:eastAsia="Times New Roman" w:hAnsi="Times New Roman" w:cs="Times New Roman"/>
          <w:sz w:val="24"/>
          <w:szCs w:val="24"/>
          <w:lang w:val="en-US"/>
        </w:rPr>
        <w:t>it is possible to</w:t>
      </w:r>
      <w:r w:rsidRPr="001C6273">
        <w:rPr>
          <w:rFonts w:ascii="Times New Roman" w:eastAsia="Times New Roman" w:hAnsi="Times New Roman" w:cs="Times New Roman"/>
          <w:sz w:val="24"/>
          <w:szCs w:val="24"/>
          <w:lang w:val="en-US"/>
        </w:rPr>
        <w:t xml:space="preserve"> see that both show a relative decline in the performance of Brazil towards a more sustainable economy, denoting a certain stagnation of the country in rec</w:t>
      </w:r>
      <w:r>
        <w:rPr>
          <w:rFonts w:ascii="Times New Roman" w:eastAsia="Times New Roman" w:hAnsi="Times New Roman" w:cs="Times New Roman"/>
          <w:sz w:val="24"/>
          <w:szCs w:val="24"/>
          <w:lang w:val="en-US"/>
        </w:rPr>
        <w:t>ent years</w:t>
      </w:r>
      <w:r w:rsidRPr="001C6273">
        <w:rPr>
          <w:rFonts w:ascii="Times New Roman" w:eastAsia="Times New Roman" w:hAnsi="Times New Roman" w:cs="Times New Roman"/>
          <w:sz w:val="24"/>
          <w:szCs w:val="24"/>
          <w:lang w:val="en-US"/>
        </w:rPr>
        <w:t>.</w:t>
      </w:r>
    </w:p>
    <w:p w:rsidR="00824C5D" w:rsidRDefault="00824C5D" w:rsidP="00824C5D">
      <w:pPr>
        <w:ind w:right="-1"/>
        <w:rPr>
          <w:rFonts w:ascii="Times New Roman" w:eastAsia="Times New Roman" w:hAnsi="Times New Roman" w:cs="Times New Roman"/>
          <w:sz w:val="24"/>
          <w:szCs w:val="24"/>
          <w:lang w:val="en-US"/>
        </w:rPr>
      </w:pPr>
    </w:p>
    <w:p w:rsidR="00824C5D" w:rsidRPr="00C83D94" w:rsidRDefault="00824C5D" w:rsidP="00824C5D">
      <w:pPr>
        <w:ind w:right="-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3.2 The analysis of the r</w:t>
      </w:r>
      <w:r w:rsidRPr="00C83D94">
        <w:rPr>
          <w:rFonts w:ascii="Times New Roman" w:eastAsia="Times New Roman" w:hAnsi="Times New Roman" w:cs="Times New Roman"/>
          <w:b/>
          <w:sz w:val="24"/>
          <w:szCs w:val="24"/>
          <w:lang w:val="en-US"/>
        </w:rPr>
        <w:t xml:space="preserve">esults </w:t>
      </w:r>
    </w:p>
    <w:p w:rsidR="00824C5D" w:rsidRPr="001C6273" w:rsidRDefault="00824C5D" w:rsidP="00824C5D">
      <w:pPr>
        <w:ind w:right="-1"/>
        <w:rPr>
          <w:rFonts w:ascii="Times New Roman" w:eastAsia="Times New Roman" w:hAnsi="Times New Roman" w:cs="Times New Roman"/>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sidRPr="001C6273">
        <w:rPr>
          <w:rFonts w:ascii="Times New Roman" w:eastAsia="Times New Roman" w:hAnsi="Times New Roman" w:cs="Times New Roman"/>
          <w:sz w:val="24"/>
          <w:szCs w:val="24"/>
          <w:lang w:val="en-US"/>
        </w:rPr>
        <w:t>According to Jackson (2009, p. 215), in a susta</w:t>
      </w:r>
      <w:r>
        <w:rPr>
          <w:rFonts w:ascii="Times New Roman" w:eastAsia="Times New Roman" w:hAnsi="Times New Roman" w:cs="Times New Roman"/>
          <w:sz w:val="24"/>
          <w:szCs w:val="24"/>
          <w:lang w:val="en-US"/>
        </w:rPr>
        <w:t>inable economy,</w:t>
      </w:r>
      <w:r w:rsidRPr="001C6273">
        <w:rPr>
          <w:rFonts w:ascii="Times New Roman" w:eastAsia="Times New Roman" w:hAnsi="Times New Roman" w:cs="Times New Roman"/>
          <w:sz w:val="24"/>
          <w:szCs w:val="24"/>
          <w:lang w:val="en-US"/>
        </w:rPr>
        <w:t xml:space="preserve"> “the stability is no longer based on growing consumption, but </w:t>
      </w:r>
      <w:r>
        <w:rPr>
          <w:rFonts w:ascii="Times New Roman" w:eastAsia="Times New Roman" w:hAnsi="Times New Roman" w:cs="Times New Roman"/>
          <w:sz w:val="24"/>
          <w:szCs w:val="24"/>
          <w:lang w:val="en-US"/>
        </w:rPr>
        <w:t xml:space="preserve">it </w:t>
      </w:r>
      <w:r w:rsidRPr="001C6273">
        <w:rPr>
          <w:rFonts w:ascii="Times New Roman" w:eastAsia="Times New Roman" w:hAnsi="Times New Roman" w:cs="Times New Roman"/>
          <w:sz w:val="24"/>
          <w:szCs w:val="24"/>
          <w:lang w:val="en-US"/>
        </w:rPr>
        <w:t>emerges from strategic investments in jobs, social infrastructure, sustainable technologies, and the maintenan</w:t>
      </w:r>
      <w:r>
        <w:rPr>
          <w:rFonts w:ascii="Times New Roman" w:eastAsia="Times New Roman" w:hAnsi="Times New Roman" w:cs="Times New Roman"/>
          <w:sz w:val="24"/>
          <w:szCs w:val="24"/>
          <w:lang w:val="en-US"/>
        </w:rPr>
        <w:t>ce and protection of ecosystems</w:t>
      </w:r>
      <w:r w:rsidR="009E7564">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In recent years,</w:t>
      </w:r>
      <w:r w:rsidR="009E7564">
        <w:rPr>
          <w:rFonts w:ascii="Times New Roman" w:eastAsia="Times New Roman" w:hAnsi="Times New Roman" w:cs="Times New Roman"/>
          <w:sz w:val="24"/>
          <w:szCs w:val="24"/>
          <w:lang w:val="en-US"/>
        </w:rPr>
        <w:t xml:space="preserve"> the Brazil’s government has not adopted this strategy.  R</w:t>
      </w:r>
      <w:r w:rsidRPr="00E2474A">
        <w:rPr>
          <w:rFonts w:ascii="Times New Roman" w:eastAsia="Times New Roman" w:hAnsi="Times New Roman" w:cs="Times New Roman"/>
          <w:sz w:val="24"/>
          <w:szCs w:val="24"/>
          <w:lang w:val="en-US"/>
        </w:rPr>
        <w:t>esources of low-carbon reduced its sha</w:t>
      </w:r>
      <w:r w:rsidR="009E7564">
        <w:rPr>
          <w:rFonts w:ascii="Times New Roman" w:eastAsia="Times New Roman" w:hAnsi="Times New Roman" w:cs="Times New Roman"/>
          <w:sz w:val="24"/>
          <w:szCs w:val="24"/>
          <w:lang w:val="en-US"/>
        </w:rPr>
        <w:t xml:space="preserve">re in the energy matrix </w:t>
      </w:r>
      <w:r w:rsidRPr="00E2474A">
        <w:rPr>
          <w:rFonts w:ascii="Times New Roman" w:eastAsia="Times New Roman" w:hAnsi="Times New Roman" w:cs="Times New Roman"/>
          <w:sz w:val="24"/>
          <w:szCs w:val="24"/>
          <w:lang w:val="en-US"/>
        </w:rPr>
        <w:t>l.</w:t>
      </w:r>
      <w:r w:rsidR="00FA3EA9">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 xml:space="preserve">While the total energy produced and supplied grew by around 40% approximately between 2003 and </w:t>
      </w:r>
      <w:r>
        <w:rPr>
          <w:rFonts w:ascii="Times New Roman" w:eastAsia="Times New Roman" w:hAnsi="Times New Roman" w:cs="Times New Roman"/>
          <w:sz w:val="24"/>
          <w:szCs w:val="24"/>
          <w:lang w:val="en-US"/>
        </w:rPr>
        <w:t>2012, the natural resources</w:t>
      </w:r>
      <w:r w:rsidRPr="00E2474A">
        <w:rPr>
          <w:rFonts w:ascii="Times New Roman" w:eastAsia="Times New Roman" w:hAnsi="Times New Roman" w:cs="Times New Roman"/>
          <w:sz w:val="24"/>
          <w:szCs w:val="24"/>
          <w:lang w:val="en-US"/>
        </w:rPr>
        <w:t xml:space="preserve"> grew between 36% and 37% during the same period.</w:t>
      </w:r>
      <w:r w:rsidR="00FA3EA9">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Thus,</w:t>
      </w:r>
      <w:r w:rsidR="00582A1A">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the increase of the share of non-renewable res</w:t>
      </w:r>
      <w:r>
        <w:rPr>
          <w:rFonts w:ascii="Times New Roman" w:eastAsia="Times New Roman" w:hAnsi="Times New Roman" w:cs="Times New Roman"/>
          <w:sz w:val="24"/>
          <w:szCs w:val="24"/>
          <w:lang w:val="en-US"/>
        </w:rPr>
        <w:t>ources in the energy matrix</w:t>
      </w:r>
      <w:r w:rsidRPr="00E2474A">
        <w:rPr>
          <w:rFonts w:ascii="Times New Roman" w:eastAsia="Times New Roman" w:hAnsi="Times New Roman" w:cs="Times New Roman"/>
          <w:sz w:val="24"/>
          <w:szCs w:val="24"/>
          <w:lang w:val="en-US"/>
        </w:rPr>
        <w:t xml:space="preserve"> was </w:t>
      </w:r>
      <w:r>
        <w:rPr>
          <w:rFonts w:ascii="Times New Roman" w:eastAsia="Times New Roman" w:hAnsi="Times New Roman" w:cs="Times New Roman"/>
          <w:sz w:val="24"/>
          <w:szCs w:val="24"/>
          <w:lang w:val="en-US"/>
        </w:rPr>
        <w:t>significant</w:t>
      </w:r>
      <w:r w:rsidRPr="00E2474A">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The others are related to energy efficiency.</w:t>
      </w:r>
      <w:r w:rsidR="00582A1A">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 xml:space="preserve">Due to the interval of time required for research and resources development of low-carbon, and the intrinsic necessity of reduction of energy consumption as a way </w:t>
      </w:r>
      <w:r>
        <w:rPr>
          <w:rFonts w:ascii="Times New Roman" w:eastAsia="Times New Roman" w:hAnsi="Times New Roman" w:cs="Times New Roman"/>
          <w:sz w:val="24"/>
          <w:szCs w:val="24"/>
          <w:lang w:val="en-US"/>
        </w:rPr>
        <w:t>to assimilate a</w:t>
      </w:r>
      <w:r w:rsidR="00582A1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more sustainable life,</w:t>
      </w:r>
      <w:r w:rsidRPr="00E2474A">
        <w:rPr>
          <w:rFonts w:ascii="Times New Roman" w:eastAsia="Times New Roman" w:hAnsi="Times New Roman" w:cs="Times New Roman"/>
          <w:sz w:val="24"/>
          <w:szCs w:val="24"/>
          <w:lang w:val="en-US"/>
        </w:rPr>
        <w:t xml:space="preserve"> investing in energy efficiency is the most rational choice to achieve a gree</w:t>
      </w:r>
      <w:r>
        <w:rPr>
          <w:rFonts w:ascii="Times New Roman" w:eastAsia="Times New Roman" w:hAnsi="Times New Roman" w:cs="Times New Roman"/>
          <w:sz w:val="24"/>
          <w:szCs w:val="24"/>
          <w:lang w:val="en-US"/>
        </w:rPr>
        <w:t>n economy.</w:t>
      </w:r>
    </w:p>
    <w:p w:rsidR="00824C5D" w:rsidRPr="00965BE1" w:rsidRDefault="00824C5D" w:rsidP="00824C5D">
      <w:pPr>
        <w:spacing w:line="360" w:lineRule="auto"/>
        <w:ind w:right="-1" w:firstLine="851"/>
        <w:jc w:val="both"/>
        <w:rPr>
          <w:rFonts w:ascii="Times New Roman" w:eastAsia="Times New Roman" w:hAnsi="Times New Roman" w:cs="Times New Roman"/>
          <w:sz w:val="24"/>
          <w:szCs w:val="24"/>
          <w:lang w:val="en-US"/>
        </w:rPr>
      </w:pPr>
      <w:r w:rsidRPr="00E2474A">
        <w:rPr>
          <w:rFonts w:ascii="Times New Roman" w:eastAsia="Times New Roman" w:hAnsi="Times New Roman" w:cs="Times New Roman"/>
          <w:sz w:val="24"/>
          <w:szCs w:val="24"/>
          <w:lang w:val="en-US"/>
        </w:rPr>
        <w:t>Another factor that has increased the participati</w:t>
      </w:r>
      <w:r>
        <w:rPr>
          <w:rFonts w:ascii="Times New Roman" w:eastAsia="Times New Roman" w:hAnsi="Times New Roman" w:cs="Times New Roman"/>
          <w:sz w:val="24"/>
          <w:szCs w:val="24"/>
          <w:lang w:val="en-US"/>
        </w:rPr>
        <w:t>on of fossil energy in the matrix is related</w:t>
      </w:r>
      <w:r w:rsidRPr="00E2474A">
        <w:rPr>
          <w:rFonts w:ascii="Times New Roman" w:eastAsia="Times New Roman" w:hAnsi="Times New Roman" w:cs="Times New Roman"/>
          <w:sz w:val="24"/>
          <w:szCs w:val="24"/>
          <w:lang w:val="en-US"/>
        </w:rPr>
        <w:t xml:space="preserve"> to the water crisis that started in mid-2012.The main reservoirs of the country have been below the dead volume</w:t>
      </w:r>
      <w:r>
        <w:rPr>
          <w:rStyle w:val="Refdenotaderodap"/>
          <w:rFonts w:ascii="Times New Roman" w:eastAsia="Times New Roman" w:hAnsi="Times New Roman" w:cs="Times New Roman"/>
          <w:sz w:val="24"/>
          <w:szCs w:val="24"/>
          <w:lang w:val="en-US"/>
        </w:rPr>
        <w:footnoteReference w:id="3"/>
      </w:r>
      <w:r w:rsidRPr="00E2474A">
        <w:rPr>
          <w:rFonts w:ascii="Times New Roman" w:eastAsia="Times New Roman" w:hAnsi="Times New Roman" w:cs="Times New Roman"/>
          <w:sz w:val="24"/>
          <w:szCs w:val="24"/>
          <w:lang w:val="en-US"/>
        </w:rPr>
        <w:t xml:space="preserve"> in some periods, due to the lack of rain.</w:t>
      </w:r>
      <w:r w:rsidR="00FA3EA9">
        <w:rPr>
          <w:rFonts w:ascii="Times New Roman" w:eastAsia="Times New Roman" w:hAnsi="Times New Roman" w:cs="Times New Roman"/>
          <w:sz w:val="24"/>
          <w:szCs w:val="24"/>
          <w:lang w:val="en-US"/>
        </w:rPr>
        <w:t xml:space="preserve"> </w:t>
      </w:r>
      <w:r w:rsidRPr="00E2474A">
        <w:rPr>
          <w:rFonts w:ascii="Times New Roman" w:eastAsia="Times New Roman" w:hAnsi="Times New Roman" w:cs="Times New Roman"/>
          <w:sz w:val="24"/>
          <w:szCs w:val="24"/>
          <w:lang w:val="en-US"/>
        </w:rPr>
        <w:t>Compounding the situation, this decrease in the supply of energy was accompanied, concurrently, by an increase of demand by part of the population (ANA, 2014).The water crisis led the government to resort to the use of thermoelectric plants based on gas and coal, which are more polluting than the plants.</w:t>
      </w: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sidRPr="001B570A">
        <w:rPr>
          <w:rFonts w:ascii="Times New Roman" w:eastAsia="Times New Roman" w:hAnsi="Times New Roman" w:cs="Times New Roman"/>
          <w:sz w:val="24"/>
          <w:szCs w:val="24"/>
          <w:lang w:val="en-US"/>
        </w:rPr>
        <w:t>Energy efficiency also had a growth consistent with the policies during t</w:t>
      </w:r>
      <w:r>
        <w:rPr>
          <w:rFonts w:ascii="Times New Roman" w:eastAsia="Times New Roman" w:hAnsi="Times New Roman" w:cs="Times New Roman"/>
          <w:sz w:val="24"/>
          <w:szCs w:val="24"/>
          <w:lang w:val="en-US"/>
        </w:rPr>
        <w:t>hat decade</w:t>
      </w:r>
      <w:r w:rsidRPr="001B570A">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1B570A">
        <w:rPr>
          <w:rFonts w:ascii="Times New Roman" w:eastAsia="Times New Roman" w:hAnsi="Times New Roman" w:cs="Times New Roman"/>
          <w:sz w:val="24"/>
          <w:szCs w:val="24"/>
          <w:lang w:val="en-US"/>
        </w:rPr>
        <w:t>Concerning CO2 emissions, Brazil is signatory of several multilateral agreements in the global effort of reducing greenhouse gas (GHG) emissions, while not having binding targets for mitigation of carbon dioxide.</w:t>
      </w:r>
      <w:r w:rsidR="00FA3EA9">
        <w:rPr>
          <w:rFonts w:ascii="Times New Roman" w:eastAsia="Times New Roman" w:hAnsi="Times New Roman" w:cs="Times New Roman"/>
          <w:sz w:val="24"/>
          <w:szCs w:val="24"/>
          <w:lang w:val="en-US"/>
        </w:rPr>
        <w:t xml:space="preserve"> </w:t>
      </w:r>
      <w:r w:rsidRPr="001B570A">
        <w:rPr>
          <w:rFonts w:ascii="Times New Roman" w:eastAsia="Times New Roman" w:hAnsi="Times New Roman" w:cs="Times New Roman"/>
          <w:sz w:val="24"/>
          <w:szCs w:val="24"/>
          <w:lang w:val="en-US"/>
        </w:rPr>
        <w:t>However, the environmental policies adopted so far do not include the formal control of emissions, such as taxes or</w:t>
      </w:r>
      <w:r>
        <w:rPr>
          <w:rFonts w:ascii="Times New Roman" w:eastAsia="Times New Roman" w:hAnsi="Times New Roman" w:cs="Times New Roman"/>
          <w:sz w:val="24"/>
          <w:szCs w:val="24"/>
          <w:lang w:val="en-US"/>
        </w:rPr>
        <w:t xml:space="preserve"> trade quotas</w:t>
      </w:r>
      <w:r w:rsidRPr="001B570A">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1B570A">
        <w:rPr>
          <w:rFonts w:ascii="Times New Roman" w:eastAsia="Times New Roman" w:hAnsi="Times New Roman" w:cs="Times New Roman"/>
          <w:sz w:val="24"/>
          <w:szCs w:val="24"/>
          <w:lang w:val="en-US"/>
        </w:rPr>
        <w:t>Unlike other countries, whose burning of fossil fuels is the mai</w:t>
      </w:r>
      <w:r>
        <w:rPr>
          <w:rFonts w:ascii="Times New Roman" w:eastAsia="Times New Roman" w:hAnsi="Times New Roman" w:cs="Times New Roman"/>
          <w:sz w:val="24"/>
          <w:szCs w:val="24"/>
          <w:lang w:val="en-US"/>
        </w:rPr>
        <w:t>n source of GHG emissions, the B</w:t>
      </w:r>
      <w:r w:rsidRPr="001B570A">
        <w:rPr>
          <w:rFonts w:ascii="Times New Roman" w:eastAsia="Times New Roman" w:hAnsi="Times New Roman" w:cs="Times New Roman"/>
          <w:sz w:val="24"/>
          <w:szCs w:val="24"/>
          <w:lang w:val="en-US"/>
        </w:rPr>
        <w:t>razilian emissions originate, primarily, in changes in land use and forests, with the forest fires and deforestation leading this process.</w:t>
      </w:r>
      <w:r w:rsidR="00FA3EA9">
        <w:rPr>
          <w:rFonts w:ascii="Times New Roman" w:eastAsia="Times New Roman" w:hAnsi="Times New Roman" w:cs="Times New Roman"/>
          <w:sz w:val="24"/>
          <w:szCs w:val="24"/>
          <w:lang w:val="en-US"/>
        </w:rPr>
        <w:t xml:space="preserve"> </w:t>
      </w:r>
      <w:r w:rsidRPr="001B570A">
        <w:rPr>
          <w:rFonts w:ascii="Times New Roman" w:eastAsia="Times New Roman" w:hAnsi="Times New Roman" w:cs="Times New Roman"/>
          <w:sz w:val="24"/>
          <w:szCs w:val="24"/>
          <w:lang w:val="en-US"/>
        </w:rPr>
        <w:t>The policies adopted do not include emission restrictions, but alternative actions linked to the enlargement and efficiency of the supply of renewable energy sources, small hydro and bio</w:t>
      </w:r>
      <w:r w:rsidR="00FA3EA9">
        <w:rPr>
          <w:rFonts w:ascii="Times New Roman" w:eastAsia="Times New Roman" w:hAnsi="Times New Roman" w:cs="Times New Roman"/>
          <w:sz w:val="24"/>
          <w:szCs w:val="24"/>
          <w:lang w:val="en-US"/>
        </w:rPr>
        <w:t xml:space="preserve"> </w:t>
      </w:r>
      <w:r w:rsidRPr="001B570A">
        <w:rPr>
          <w:rFonts w:ascii="Times New Roman" w:eastAsia="Times New Roman" w:hAnsi="Times New Roman" w:cs="Times New Roman"/>
          <w:sz w:val="24"/>
          <w:szCs w:val="24"/>
          <w:lang w:val="en-US"/>
        </w:rPr>
        <w:t>fuels (LEAL et al, 2015).</w:t>
      </w:r>
    </w:p>
    <w:p w:rsidR="00824C5D" w:rsidRPr="00965BE1" w:rsidRDefault="00824C5D" w:rsidP="00824C5D">
      <w:pPr>
        <w:spacing w:line="360" w:lineRule="auto"/>
        <w:ind w:right="-1" w:firstLine="851"/>
        <w:jc w:val="both"/>
        <w:rPr>
          <w:rFonts w:ascii="Times New Roman" w:hAnsi="Times New Roman" w:cs="Times New Roman"/>
          <w:vanish/>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p>
    <w:p w:rsidR="00824C5D" w:rsidRPr="00072B07" w:rsidRDefault="00824C5D" w:rsidP="00824C5D">
      <w:pPr>
        <w:ind w:right="-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Conclusion</w:t>
      </w:r>
    </w:p>
    <w:p w:rsidR="00824C5D" w:rsidRDefault="00824C5D" w:rsidP="00824C5D">
      <w:pPr>
        <w:ind w:right="-1"/>
        <w:rPr>
          <w:rFonts w:ascii="Times New Roman" w:eastAsia="Times New Roman" w:hAnsi="Times New Roman" w:cs="Times New Roman"/>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sidRPr="00CD2A2C">
        <w:rPr>
          <w:rFonts w:ascii="Times New Roman" w:eastAsia="Times New Roman" w:hAnsi="Times New Roman" w:cs="Times New Roman"/>
          <w:sz w:val="24"/>
          <w:szCs w:val="24"/>
          <w:lang w:val="en-US"/>
        </w:rPr>
        <w:t>According to the preface written by Nicholas Sarkozy in Stiglitz et al (2010), the statistics and methods of measurement reflect the aspirations and values of a society.</w:t>
      </w:r>
      <w:r w:rsidR="00FA3EA9">
        <w:rPr>
          <w:rFonts w:ascii="Times New Roman" w:eastAsia="Times New Roman" w:hAnsi="Times New Roman" w:cs="Times New Roman"/>
          <w:sz w:val="24"/>
          <w:szCs w:val="24"/>
          <w:lang w:val="en-US"/>
        </w:rPr>
        <w:t xml:space="preserve"> </w:t>
      </w:r>
      <w:r w:rsidR="00902BCA">
        <w:rPr>
          <w:rFonts w:ascii="Times New Roman" w:eastAsia="Times New Roman" w:hAnsi="Times New Roman" w:cs="Times New Roman"/>
          <w:sz w:val="24"/>
          <w:szCs w:val="24"/>
          <w:lang w:val="en-US"/>
        </w:rPr>
        <w:t>Indeed, t</w:t>
      </w:r>
      <w:r w:rsidRPr="00CD2A2C">
        <w:rPr>
          <w:rFonts w:ascii="Times New Roman" w:eastAsia="Times New Roman" w:hAnsi="Times New Roman" w:cs="Times New Roman"/>
          <w:sz w:val="24"/>
          <w:szCs w:val="24"/>
          <w:lang w:val="en-US"/>
        </w:rPr>
        <w:t xml:space="preserve">hey are inseparable from the vision </w:t>
      </w:r>
      <w:r>
        <w:rPr>
          <w:rFonts w:ascii="Times New Roman" w:eastAsia="Times New Roman" w:hAnsi="Times New Roman" w:cs="Times New Roman"/>
          <w:sz w:val="24"/>
          <w:szCs w:val="24"/>
          <w:lang w:val="en-US"/>
        </w:rPr>
        <w:t xml:space="preserve">of the socioeconomic world, </w:t>
      </w:r>
      <w:r w:rsidRPr="00CD2A2C">
        <w:rPr>
          <w:rFonts w:ascii="Times New Roman" w:eastAsia="Times New Roman" w:hAnsi="Times New Roman" w:cs="Times New Roman"/>
          <w:sz w:val="24"/>
          <w:szCs w:val="24"/>
          <w:lang w:val="en-US"/>
        </w:rPr>
        <w:t>the concept of the human being and their inter-relationships.</w:t>
      </w:r>
      <w:r w:rsidR="00FA3E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 t</w:t>
      </w:r>
      <w:r w:rsidRPr="00CD2A2C">
        <w:rPr>
          <w:rFonts w:ascii="Times New Roman" w:eastAsia="Times New Roman" w:hAnsi="Times New Roman" w:cs="Times New Roman"/>
          <w:sz w:val="24"/>
          <w:szCs w:val="24"/>
          <w:lang w:val="en-US"/>
        </w:rPr>
        <w:t>reat these issues as being external to a particular popu</w:t>
      </w:r>
      <w:r>
        <w:rPr>
          <w:rFonts w:ascii="Times New Roman" w:eastAsia="Times New Roman" w:hAnsi="Times New Roman" w:cs="Times New Roman"/>
          <w:sz w:val="24"/>
          <w:szCs w:val="24"/>
          <w:lang w:val="en-US"/>
        </w:rPr>
        <w:t xml:space="preserve">lation </w:t>
      </w:r>
      <w:r w:rsidRPr="00CD2A2C">
        <w:rPr>
          <w:rFonts w:ascii="Times New Roman" w:eastAsia="Times New Roman" w:hAnsi="Times New Roman" w:cs="Times New Roman"/>
          <w:sz w:val="24"/>
          <w:szCs w:val="24"/>
          <w:lang w:val="en-US"/>
        </w:rPr>
        <w:t>is very comfortable, and, at t</w:t>
      </w:r>
      <w:r>
        <w:rPr>
          <w:rFonts w:ascii="Times New Roman" w:eastAsia="Times New Roman" w:hAnsi="Times New Roman" w:cs="Times New Roman"/>
          <w:sz w:val="24"/>
          <w:szCs w:val="24"/>
          <w:lang w:val="en-US"/>
        </w:rPr>
        <w:t>he same time, dangerous, since</w:t>
      </w:r>
      <w:r w:rsidRPr="00CD2A2C">
        <w:rPr>
          <w:rFonts w:ascii="Times New Roman" w:eastAsia="Times New Roman" w:hAnsi="Times New Roman" w:cs="Times New Roman"/>
          <w:sz w:val="24"/>
          <w:szCs w:val="24"/>
          <w:lang w:val="en-US"/>
        </w:rPr>
        <w:t xml:space="preserve"> it can get to a certain point at which the authorities and researchers begin to lose the true focus of what they are doing, what they are truly measuring, and what lessons need to be learned.</w:t>
      </w:r>
    </w:p>
    <w:p w:rsidR="00902BCA" w:rsidRDefault="00824C5D" w:rsidP="00824C5D">
      <w:pPr>
        <w:spacing w:line="360" w:lineRule="auto"/>
        <w:ind w:right="-1" w:firstLine="851"/>
        <w:jc w:val="both"/>
        <w:rPr>
          <w:rFonts w:ascii="Times New Roman" w:eastAsia="Times New Roman" w:hAnsi="Times New Roman" w:cs="Times New Roman"/>
          <w:sz w:val="24"/>
          <w:szCs w:val="24"/>
          <w:lang w:val="en-US"/>
        </w:rPr>
      </w:pPr>
      <w:r w:rsidRPr="0001459F">
        <w:rPr>
          <w:rFonts w:ascii="Times New Roman" w:eastAsia="Times New Roman" w:hAnsi="Times New Roman" w:cs="Times New Roman"/>
          <w:sz w:val="24"/>
          <w:szCs w:val="24"/>
          <w:lang w:val="en-US"/>
        </w:rPr>
        <w:t xml:space="preserve">In this </w:t>
      </w:r>
      <w:r>
        <w:rPr>
          <w:rFonts w:ascii="Times New Roman" w:eastAsia="Times New Roman" w:hAnsi="Times New Roman" w:cs="Times New Roman"/>
          <w:sz w:val="24"/>
          <w:szCs w:val="24"/>
          <w:lang w:val="en-US"/>
        </w:rPr>
        <w:t xml:space="preserve">context, </w:t>
      </w:r>
      <w:r w:rsidRPr="00CD2A2C">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he present</w:t>
      </w:r>
      <w:r w:rsidRPr="00CD2A2C">
        <w:rPr>
          <w:rFonts w:ascii="Times New Roman" w:eastAsia="Times New Roman" w:hAnsi="Times New Roman" w:cs="Times New Roman"/>
          <w:sz w:val="24"/>
          <w:szCs w:val="24"/>
          <w:lang w:val="en-US"/>
        </w:rPr>
        <w:t xml:space="preserve"> w</w:t>
      </w:r>
      <w:r w:rsidR="00902BCA">
        <w:rPr>
          <w:rFonts w:ascii="Times New Roman" w:eastAsia="Times New Roman" w:hAnsi="Times New Roman" w:cs="Times New Roman"/>
          <w:sz w:val="24"/>
          <w:szCs w:val="24"/>
          <w:lang w:val="en-US"/>
        </w:rPr>
        <w:t>ork had the purpose of building</w:t>
      </w:r>
      <w:r w:rsidRPr="00CD2A2C">
        <w:rPr>
          <w:rFonts w:ascii="Times New Roman" w:eastAsia="Times New Roman" w:hAnsi="Times New Roman" w:cs="Times New Roman"/>
          <w:sz w:val="24"/>
          <w:szCs w:val="24"/>
          <w:lang w:val="en-US"/>
        </w:rPr>
        <w:t xml:space="preserve"> a new indicator of sustainability</w:t>
      </w:r>
      <w:r w:rsidR="00902BCA">
        <w:rPr>
          <w:rFonts w:ascii="Times New Roman" w:eastAsia="Times New Roman" w:hAnsi="Times New Roman" w:cs="Times New Roman"/>
          <w:sz w:val="24"/>
          <w:szCs w:val="24"/>
          <w:lang w:val="en-US"/>
        </w:rPr>
        <w:t>: the Green Economy Index</w:t>
      </w:r>
      <w:r w:rsidRPr="00CD2A2C">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It was assembl</w:t>
      </w:r>
      <w:r w:rsidR="00902BCA">
        <w:rPr>
          <w:rFonts w:ascii="Times New Roman" w:eastAsia="Times New Roman" w:hAnsi="Times New Roman" w:cs="Times New Roman"/>
          <w:sz w:val="24"/>
          <w:szCs w:val="24"/>
          <w:lang w:val="en-US"/>
        </w:rPr>
        <w:t>ed from an analytical instrument</w:t>
      </w:r>
      <w:r w:rsidRPr="00CD2A2C">
        <w:rPr>
          <w:rFonts w:ascii="Times New Roman" w:eastAsia="Times New Roman" w:hAnsi="Times New Roman" w:cs="Times New Roman"/>
          <w:sz w:val="24"/>
          <w:szCs w:val="24"/>
          <w:lang w:val="en-US"/>
        </w:rPr>
        <w:t>, called the Magic Triangle, which is based on the ideas of Kaldor (1971), and part of a reformulation of the proposed index in Medrano</w:t>
      </w:r>
      <w:r>
        <w:rPr>
          <w:rFonts w:ascii="Times New Roman" w:eastAsia="Times New Roman" w:hAnsi="Times New Roman" w:cs="Times New Roman"/>
          <w:sz w:val="24"/>
          <w:szCs w:val="24"/>
          <w:lang w:val="en-US"/>
        </w:rPr>
        <w:t>-D</w:t>
      </w:r>
      <w:r w:rsidRPr="00CD2A2C">
        <w:rPr>
          <w:rFonts w:ascii="Times New Roman" w:eastAsia="Times New Roman" w:hAnsi="Times New Roman" w:cs="Times New Roman"/>
          <w:sz w:val="24"/>
          <w:szCs w:val="24"/>
          <w:lang w:val="en-US"/>
        </w:rPr>
        <w:t xml:space="preserve"> and Teixeira (2013)</w:t>
      </w:r>
      <w:r>
        <w:rPr>
          <w:rFonts w:ascii="Times New Roman" w:eastAsia="Times New Roman" w:hAnsi="Times New Roman" w:cs="Times New Roman"/>
          <w:sz w:val="24"/>
          <w:szCs w:val="24"/>
          <w:lang w:val="en-US"/>
        </w:rPr>
        <w:t>.</w:t>
      </w:r>
      <w:r w:rsidRPr="00CD2A2C">
        <w:rPr>
          <w:rFonts w:ascii="Times New Roman" w:eastAsia="Times New Roman" w:hAnsi="Times New Roman" w:cs="Times New Roman"/>
          <w:sz w:val="24"/>
          <w:szCs w:val="24"/>
          <w:lang w:val="en-US"/>
        </w:rPr>
        <w:t xml:space="preserve"> In addition, the methodology presented in this work was formulated according to the three pillars of the green economy.</w:t>
      </w:r>
      <w:r w:rsidR="00FA3EA9">
        <w:rPr>
          <w:rFonts w:ascii="Times New Roman" w:eastAsia="Times New Roman" w:hAnsi="Times New Roman" w:cs="Times New Roman"/>
          <w:sz w:val="24"/>
          <w:szCs w:val="24"/>
          <w:lang w:val="en-US"/>
        </w:rPr>
        <w:t xml:space="preserve"> </w:t>
      </w: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sidRPr="00CD2A2C">
        <w:rPr>
          <w:rFonts w:ascii="Times New Roman" w:eastAsia="Times New Roman" w:hAnsi="Times New Roman" w:cs="Times New Roman"/>
          <w:sz w:val="24"/>
          <w:szCs w:val="24"/>
          <w:lang w:val="en-US"/>
        </w:rPr>
        <w:t xml:space="preserve">A positive aspect of the </w:t>
      </w:r>
      <w:r>
        <w:rPr>
          <w:rFonts w:ascii="Times New Roman" w:eastAsia="Times New Roman" w:hAnsi="Times New Roman" w:cs="Times New Roman"/>
          <w:sz w:val="24"/>
          <w:szCs w:val="24"/>
          <w:lang w:val="en-US"/>
        </w:rPr>
        <w:t>Green Economy I</w:t>
      </w:r>
      <w:r w:rsidRPr="00CD2A2C">
        <w:rPr>
          <w:rFonts w:ascii="Times New Roman" w:eastAsia="Times New Roman" w:hAnsi="Times New Roman" w:cs="Times New Roman"/>
          <w:sz w:val="24"/>
          <w:szCs w:val="24"/>
          <w:lang w:val="en-US"/>
        </w:rPr>
        <w:t>ndex</w:t>
      </w:r>
      <w:r>
        <w:rPr>
          <w:rFonts w:ascii="Times New Roman" w:eastAsia="Times New Roman" w:hAnsi="Times New Roman" w:cs="Times New Roman"/>
          <w:sz w:val="24"/>
          <w:szCs w:val="24"/>
          <w:lang w:val="en-US"/>
        </w:rPr>
        <w:t xml:space="preserve">, with just three variables, </w:t>
      </w:r>
      <w:r w:rsidRPr="00CD2A2C">
        <w:rPr>
          <w:rFonts w:ascii="Times New Roman" w:eastAsia="Times New Roman" w:hAnsi="Times New Roman" w:cs="Times New Roman"/>
          <w:sz w:val="24"/>
          <w:szCs w:val="24"/>
          <w:lang w:val="en-US"/>
        </w:rPr>
        <w:t xml:space="preserve">is the fact that its outcome does not change according </w:t>
      </w:r>
      <w:r>
        <w:rPr>
          <w:rFonts w:ascii="Times New Roman" w:eastAsia="Times New Roman" w:hAnsi="Times New Roman" w:cs="Times New Roman"/>
          <w:sz w:val="24"/>
          <w:szCs w:val="24"/>
          <w:lang w:val="en-US"/>
        </w:rPr>
        <w:t xml:space="preserve">to the ordering of the vectors </w:t>
      </w:r>
      <w:r w:rsidRPr="002C1559">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a problem, which occurs </w:t>
      </w:r>
      <w:r w:rsidRPr="00CD2A2C">
        <w:rPr>
          <w:rFonts w:ascii="Times New Roman" w:eastAsia="Times New Roman" w:hAnsi="Times New Roman" w:cs="Times New Roman"/>
          <w:sz w:val="24"/>
          <w:szCs w:val="24"/>
          <w:lang w:val="en-US"/>
        </w:rPr>
        <w:t xml:space="preserve">in other measures based on the </w:t>
      </w:r>
      <w:r>
        <w:rPr>
          <w:rFonts w:ascii="Times New Roman" w:eastAsia="Times New Roman" w:hAnsi="Times New Roman" w:cs="Times New Roman"/>
          <w:sz w:val="24"/>
          <w:szCs w:val="24"/>
          <w:lang w:val="en-US"/>
        </w:rPr>
        <w:t>Kaldorian approach</w:t>
      </w:r>
      <w:r w:rsidRPr="00CD2A2C">
        <w:rPr>
          <w:rFonts w:ascii="Times New Roman" w:eastAsia="Times New Roman" w:hAnsi="Times New Roman" w:cs="Times New Roman"/>
          <w:sz w:val="24"/>
          <w:szCs w:val="24"/>
          <w:lang w:val="en-US"/>
        </w:rPr>
        <w:t>, as the Magic Square.</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 xml:space="preserve">In addition, due to its simplicity of measurement and graphical representation, this index appears as a </w:t>
      </w:r>
      <w:r>
        <w:rPr>
          <w:rFonts w:ascii="Times New Roman" w:eastAsia="Times New Roman" w:hAnsi="Times New Roman" w:cs="Times New Roman"/>
          <w:sz w:val="24"/>
          <w:szCs w:val="24"/>
          <w:lang w:val="en-US"/>
        </w:rPr>
        <w:t>fair analytical</w:t>
      </w:r>
      <w:r w:rsidRPr="00CD2A2C">
        <w:rPr>
          <w:rFonts w:ascii="Times New Roman" w:eastAsia="Times New Roman" w:hAnsi="Times New Roman" w:cs="Times New Roman"/>
          <w:sz w:val="24"/>
          <w:szCs w:val="24"/>
          <w:lang w:val="en-US"/>
        </w:rPr>
        <w:t xml:space="preserve"> tool among the various indicators of sustainability.</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 xml:space="preserve">In seeking to apply the </w:t>
      </w:r>
      <w:r>
        <w:rPr>
          <w:rFonts w:ascii="Times New Roman" w:eastAsia="Times New Roman" w:hAnsi="Times New Roman" w:cs="Times New Roman"/>
          <w:sz w:val="24"/>
          <w:szCs w:val="24"/>
          <w:lang w:val="en-US"/>
        </w:rPr>
        <w:t>Green Economy Index, B</w:t>
      </w:r>
      <w:r w:rsidRPr="00CD2A2C">
        <w:rPr>
          <w:rFonts w:ascii="Times New Roman" w:eastAsia="Times New Roman" w:hAnsi="Times New Roman" w:cs="Times New Roman"/>
          <w:sz w:val="24"/>
          <w:szCs w:val="24"/>
          <w:lang w:val="en-US"/>
        </w:rPr>
        <w:t>razilian data</w:t>
      </w:r>
      <w:r>
        <w:rPr>
          <w:rFonts w:ascii="Times New Roman" w:eastAsia="Times New Roman" w:hAnsi="Times New Roman" w:cs="Times New Roman"/>
          <w:sz w:val="24"/>
          <w:szCs w:val="24"/>
          <w:lang w:val="en-US"/>
        </w:rPr>
        <w:t xml:space="preserve"> were used </w:t>
      </w:r>
      <w:r w:rsidRPr="00CD2A2C">
        <w:rPr>
          <w:rFonts w:ascii="Times New Roman" w:eastAsia="Times New Roman" w:hAnsi="Times New Roman" w:cs="Times New Roman"/>
          <w:sz w:val="24"/>
          <w:szCs w:val="24"/>
          <w:lang w:val="en-US"/>
        </w:rPr>
        <w:t>for the two periods 2001-2007 and 2008-2014.When analyzing the results</w:t>
      </w:r>
      <w:r>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we found </w:t>
      </w:r>
      <w:r w:rsidRPr="00CD2A2C">
        <w:rPr>
          <w:rFonts w:ascii="Times New Roman" w:eastAsia="Times New Roman" w:hAnsi="Times New Roman" w:cs="Times New Roman"/>
          <w:sz w:val="24"/>
          <w:szCs w:val="24"/>
          <w:lang w:val="en-US"/>
        </w:rPr>
        <w:t>that Brazil was stagnant in the process of transitio</w:t>
      </w:r>
      <w:r>
        <w:rPr>
          <w:rFonts w:ascii="Times New Roman" w:eastAsia="Times New Roman" w:hAnsi="Times New Roman" w:cs="Times New Roman"/>
          <w:sz w:val="24"/>
          <w:szCs w:val="24"/>
          <w:lang w:val="en-US"/>
        </w:rPr>
        <w:t>n to a more sustainable economy.</w:t>
      </w:r>
      <w:r w:rsidR="00FA3EA9">
        <w:rPr>
          <w:rFonts w:ascii="Times New Roman" w:eastAsia="Times New Roman" w:hAnsi="Times New Roman" w:cs="Times New Roman"/>
          <w:sz w:val="24"/>
          <w:szCs w:val="24"/>
          <w:lang w:val="en-US"/>
        </w:rPr>
        <w:t xml:space="preserve"> </w:t>
      </w:r>
    </w:p>
    <w:p w:rsidR="00902BCA" w:rsidRPr="00965BE1" w:rsidRDefault="00902BCA" w:rsidP="00824C5D">
      <w:pPr>
        <w:spacing w:line="360" w:lineRule="auto"/>
        <w:ind w:right="-1" w:firstLine="851"/>
        <w:jc w:val="both"/>
        <w:rPr>
          <w:rFonts w:ascii="Times New Roman" w:eastAsia="Times New Roman" w:hAnsi="Times New Roman" w:cs="Times New Roman"/>
          <w:vanish/>
          <w:sz w:val="24"/>
          <w:szCs w:val="24"/>
          <w:lang w:val="en-US"/>
        </w:rPr>
      </w:pPr>
    </w:p>
    <w:p w:rsidR="00824C5D" w:rsidRDefault="00824C5D" w:rsidP="00824C5D">
      <w:pPr>
        <w:spacing w:line="360" w:lineRule="auto"/>
        <w:ind w:right="-1" w:firstLine="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conclude that </w:t>
      </w:r>
      <w:r w:rsidRPr="00CD2A2C">
        <w:rPr>
          <w:rFonts w:ascii="Times New Roman" w:eastAsia="Times New Roman" w:hAnsi="Times New Roman" w:cs="Times New Roman"/>
          <w:sz w:val="24"/>
          <w:szCs w:val="24"/>
          <w:lang w:val="en-US"/>
        </w:rPr>
        <w:t>the implementa</w:t>
      </w:r>
      <w:r>
        <w:rPr>
          <w:rFonts w:ascii="Times New Roman" w:eastAsia="Times New Roman" w:hAnsi="Times New Roman" w:cs="Times New Roman"/>
          <w:sz w:val="24"/>
          <w:szCs w:val="24"/>
          <w:lang w:val="en-US"/>
        </w:rPr>
        <w:t>tion of a green economy is</w:t>
      </w:r>
      <w:r w:rsidRPr="00CD2A2C">
        <w:rPr>
          <w:rFonts w:ascii="Times New Roman" w:eastAsia="Times New Roman" w:hAnsi="Times New Roman" w:cs="Times New Roman"/>
          <w:sz w:val="24"/>
          <w:szCs w:val="24"/>
          <w:lang w:val="en-US"/>
        </w:rPr>
        <w:t xml:space="preserve"> a profound challenge for governance at all levels.</w:t>
      </w:r>
      <w:r w:rsidR="00FA3EA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present analyze indicates that society needs to be cautions and use rash </w:t>
      </w:r>
      <w:r w:rsidRPr="00CD2A2C">
        <w:rPr>
          <w:rFonts w:ascii="Times New Roman" w:eastAsia="Times New Roman" w:hAnsi="Times New Roman" w:cs="Times New Roman"/>
          <w:sz w:val="24"/>
          <w:szCs w:val="24"/>
          <w:lang w:val="en-US"/>
        </w:rPr>
        <w:t>measure</w:t>
      </w:r>
      <w:r>
        <w:rPr>
          <w:rFonts w:ascii="Times New Roman" w:eastAsia="Times New Roman" w:hAnsi="Times New Roman" w:cs="Times New Roman"/>
          <w:sz w:val="24"/>
          <w:szCs w:val="24"/>
          <w:lang w:val="en-US"/>
        </w:rPr>
        <w:t>s</w:t>
      </w:r>
      <w:r w:rsidRPr="00CD2A2C">
        <w:rPr>
          <w:rFonts w:ascii="Times New Roman" w:eastAsia="Times New Roman" w:hAnsi="Times New Roman" w:cs="Times New Roman"/>
          <w:sz w:val="24"/>
          <w:szCs w:val="24"/>
          <w:lang w:val="en-US"/>
        </w:rPr>
        <w:t xml:space="preserve"> in which</w:t>
      </w:r>
      <w:r>
        <w:rPr>
          <w:rFonts w:ascii="Times New Roman" w:eastAsia="Times New Roman" w:hAnsi="Times New Roman" w:cs="Times New Roman"/>
          <w:sz w:val="24"/>
          <w:szCs w:val="24"/>
          <w:lang w:val="en-US"/>
        </w:rPr>
        <w:t xml:space="preserve"> the thresholds of the planet become</w:t>
      </w:r>
      <w:r w:rsidRPr="00CD2A2C">
        <w:rPr>
          <w:rFonts w:ascii="Times New Roman" w:eastAsia="Times New Roman" w:hAnsi="Times New Roman" w:cs="Times New Roman"/>
          <w:sz w:val="24"/>
          <w:szCs w:val="24"/>
          <w:lang w:val="en-US"/>
        </w:rPr>
        <w:t xml:space="preserve"> global commons.</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 xml:space="preserve">Consequently, without high levels of </w:t>
      </w:r>
      <w:r>
        <w:rPr>
          <w:rFonts w:ascii="Times New Roman" w:eastAsia="Times New Roman" w:hAnsi="Times New Roman" w:cs="Times New Roman"/>
          <w:sz w:val="24"/>
          <w:szCs w:val="24"/>
          <w:lang w:val="en-US"/>
        </w:rPr>
        <w:t xml:space="preserve">domestic and </w:t>
      </w:r>
      <w:r w:rsidRPr="00CD2A2C">
        <w:rPr>
          <w:rFonts w:ascii="Times New Roman" w:eastAsia="Times New Roman" w:hAnsi="Times New Roman" w:cs="Times New Roman"/>
          <w:sz w:val="24"/>
          <w:szCs w:val="24"/>
          <w:lang w:val="en-US"/>
        </w:rPr>
        <w:t xml:space="preserve">international cooperation, it is impossible to define and protect a </w:t>
      </w:r>
      <w:r>
        <w:rPr>
          <w:rFonts w:ascii="Times New Roman" w:eastAsia="Times New Roman" w:hAnsi="Times New Roman" w:cs="Times New Roman"/>
          <w:sz w:val="24"/>
          <w:szCs w:val="24"/>
          <w:lang w:val="en-US"/>
        </w:rPr>
        <w:t>coming</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space</w:t>
      </w:r>
      <w:r>
        <w:rPr>
          <w:rFonts w:ascii="Times New Roman" w:eastAsia="Times New Roman" w:hAnsi="Times New Roman" w:cs="Times New Roman"/>
          <w:sz w:val="24"/>
          <w:szCs w:val="24"/>
          <w:lang w:val="en-US"/>
        </w:rPr>
        <w:t>ship earth</w:t>
      </w:r>
      <w:r w:rsidRPr="00CD2A2C">
        <w:rPr>
          <w:rFonts w:ascii="Times New Roman" w:eastAsia="Times New Roman" w:hAnsi="Times New Roman" w:cs="Times New Roman"/>
          <w:sz w:val="24"/>
          <w:szCs w:val="24"/>
          <w:lang w:val="en-US"/>
        </w:rPr>
        <w:t>.</w:t>
      </w:r>
      <w:r w:rsidR="00FA3EA9">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 xml:space="preserve">On the face of it, with the election of Donald Trump to the presidency of the United States, there arises a new moment of uncertainty and insecurity with respect </w:t>
      </w:r>
      <w:r>
        <w:rPr>
          <w:rFonts w:ascii="Times New Roman" w:eastAsia="Times New Roman" w:hAnsi="Times New Roman" w:cs="Times New Roman"/>
          <w:sz w:val="24"/>
          <w:szCs w:val="24"/>
          <w:lang w:val="en-US"/>
        </w:rPr>
        <w:t>to a global agreement, since,</w:t>
      </w:r>
      <w:r w:rsidRPr="00CD2A2C">
        <w:rPr>
          <w:rFonts w:ascii="Times New Roman" w:eastAsia="Times New Roman" w:hAnsi="Times New Roman" w:cs="Times New Roman"/>
          <w:sz w:val="24"/>
          <w:szCs w:val="24"/>
          <w:lang w:val="en-US"/>
        </w:rPr>
        <w:t xml:space="preserve"> during his campaign, he showed himself a strong opponent of the policies of combating climate change.</w:t>
      </w:r>
      <w:r w:rsidR="00582A1A">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 xml:space="preserve">In addition, shortly </w:t>
      </w:r>
      <w:r>
        <w:rPr>
          <w:rFonts w:ascii="Times New Roman" w:eastAsia="Times New Roman" w:hAnsi="Times New Roman" w:cs="Times New Roman"/>
          <w:sz w:val="24"/>
          <w:szCs w:val="24"/>
          <w:lang w:val="en-US"/>
        </w:rPr>
        <w:t xml:space="preserve">after his inauguration, the link, </w:t>
      </w:r>
      <w:r w:rsidRPr="00CD2A2C">
        <w:rPr>
          <w:rFonts w:ascii="Times New Roman" w:eastAsia="Times New Roman" w:hAnsi="Times New Roman" w:cs="Times New Roman"/>
          <w:sz w:val="24"/>
          <w:szCs w:val="24"/>
          <w:lang w:val="en-US"/>
        </w:rPr>
        <w:t>from the site of the White House</w:t>
      </w:r>
      <w:r>
        <w:rPr>
          <w:rFonts w:ascii="Times New Roman" w:eastAsia="Times New Roman" w:hAnsi="Times New Roman" w:cs="Times New Roman"/>
          <w:sz w:val="24"/>
          <w:szCs w:val="24"/>
          <w:lang w:val="en-US"/>
        </w:rPr>
        <w:t>,</w:t>
      </w:r>
      <w:r w:rsidR="00582A1A">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relating to climate change has been removed</w:t>
      </w:r>
      <w:r>
        <w:rPr>
          <w:rFonts w:ascii="Times New Roman" w:eastAsia="Times New Roman" w:hAnsi="Times New Roman" w:cs="Times New Roman"/>
          <w:sz w:val="24"/>
          <w:szCs w:val="24"/>
          <w:lang w:val="en-US"/>
        </w:rPr>
        <w:t xml:space="preserve">. It is a fact that </w:t>
      </w:r>
      <w:r w:rsidRPr="00CD2A2C">
        <w:rPr>
          <w:rFonts w:ascii="Times New Roman" w:eastAsia="Times New Roman" w:hAnsi="Times New Roman" w:cs="Times New Roman"/>
          <w:sz w:val="24"/>
          <w:szCs w:val="24"/>
          <w:lang w:val="en-US"/>
        </w:rPr>
        <w:t xml:space="preserve">reaffirms the contrary </w:t>
      </w:r>
      <w:r>
        <w:rPr>
          <w:rFonts w:ascii="Times New Roman" w:eastAsia="Times New Roman" w:hAnsi="Times New Roman" w:cs="Times New Roman"/>
          <w:sz w:val="24"/>
          <w:szCs w:val="24"/>
          <w:lang w:val="en-US"/>
        </w:rPr>
        <w:t>position of the new government to any</w:t>
      </w:r>
      <w:r w:rsidRPr="00CD2A2C">
        <w:rPr>
          <w:rFonts w:ascii="Times New Roman" w:eastAsia="Times New Roman" w:hAnsi="Times New Roman" w:cs="Times New Roman"/>
          <w:sz w:val="24"/>
          <w:szCs w:val="24"/>
          <w:lang w:val="en-US"/>
        </w:rPr>
        <w:t xml:space="preserve"> possible agreement.</w:t>
      </w:r>
      <w:r w:rsidR="00582A1A">
        <w:rPr>
          <w:rFonts w:ascii="Times New Roman" w:eastAsia="Times New Roman" w:hAnsi="Times New Roman" w:cs="Times New Roman"/>
          <w:sz w:val="24"/>
          <w:szCs w:val="24"/>
          <w:lang w:val="en-US"/>
        </w:rPr>
        <w:t xml:space="preserve"> </w:t>
      </w:r>
      <w:r w:rsidRPr="00CD2A2C">
        <w:rPr>
          <w:rFonts w:ascii="Times New Roman" w:eastAsia="Times New Roman" w:hAnsi="Times New Roman" w:cs="Times New Roman"/>
          <w:sz w:val="24"/>
          <w:szCs w:val="24"/>
          <w:lang w:val="en-US"/>
        </w:rPr>
        <w:t>Thus, the discussion of global environmental policy tak</w:t>
      </w:r>
      <w:r>
        <w:rPr>
          <w:rFonts w:ascii="Times New Roman" w:eastAsia="Times New Roman" w:hAnsi="Times New Roman" w:cs="Times New Roman"/>
          <w:sz w:val="24"/>
          <w:szCs w:val="24"/>
          <w:lang w:val="en-US"/>
        </w:rPr>
        <w:t>es on a new train of thought, where, “in a different way than in the past, man will have to return to the idea that his existence is a free gift of the sun” (Georgescu-Roegen, 1971).</w:t>
      </w:r>
    </w:p>
    <w:p w:rsidR="00824C5D" w:rsidRPr="00965BE1" w:rsidRDefault="00824C5D" w:rsidP="00824C5D">
      <w:pPr>
        <w:spacing w:line="360" w:lineRule="auto"/>
        <w:ind w:right="-1" w:firstLine="851"/>
        <w:jc w:val="both"/>
        <w:rPr>
          <w:rFonts w:ascii="Times New Roman" w:hAnsi="Times New Roman" w:cs="Times New Roman"/>
          <w:vanish/>
          <w:sz w:val="24"/>
          <w:szCs w:val="24"/>
          <w:lang w:val="en-US"/>
        </w:rPr>
      </w:pPr>
    </w:p>
    <w:p w:rsidR="00824C5D" w:rsidRDefault="00824C5D" w:rsidP="00824C5D">
      <w:pPr>
        <w:spacing w:line="360" w:lineRule="auto"/>
        <w:ind w:right="-1"/>
        <w:jc w:val="both"/>
        <w:rPr>
          <w:rFonts w:ascii="Times New Roman" w:eastAsia="Times New Roman" w:hAnsi="Times New Roman" w:cs="Times New Roman"/>
          <w:sz w:val="24"/>
          <w:szCs w:val="24"/>
          <w:lang w:val="en-US"/>
        </w:rPr>
      </w:pPr>
    </w:p>
    <w:p w:rsidR="00824C5D" w:rsidRPr="00B26788" w:rsidRDefault="00824C5D" w:rsidP="00824C5D">
      <w:pPr>
        <w:spacing w:line="360" w:lineRule="auto"/>
        <w:ind w:right="-1"/>
        <w:jc w:val="both"/>
        <w:rPr>
          <w:rFonts w:ascii="Times New Roman" w:eastAsia="Times New Roman" w:hAnsi="Times New Roman" w:cs="Times New Roman"/>
          <w:b/>
          <w:sz w:val="24"/>
          <w:szCs w:val="24"/>
        </w:rPr>
      </w:pPr>
      <w:r w:rsidRPr="00B26788">
        <w:rPr>
          <w:rFonts w:ascii="Times New Roman" w:eastAsia="Times New Roman" w:hAnsi="Times New Roman" w:cs="Times New Roman"/>
          <w:b/>
          <w:sz w:val="24"/>
          <w:szCs w:val="24"/>
        </w:rPr>
        <w:t>References</w:t>
      </w:r>
    </w:p>
    <w:p w:rsidR="00824C5D" w:rsidRPr="00B26788" w:rsidRDefault="00824C5D" w:rsidP="00824C5D">
      <w:pPr>
        <w:spacing w:line="360" w:lineRule="auto"/>
        <w:ind w:right="-1"/>
        <w:jc w:val="both"/>
        <w:rPr>
          <w:rFonts w:ascii="Times New Roman" w:eastAsia="Times New Roman" w:hAnsi="Times New Roman" w:cs="Times New Roman"/>
          <w:b/>
          <w:sz w:val="24"/>
          <w:szCs w:val="24"/>
        </w:rPr>
      </w:pPr>
    </w:p>
    <w:p w:rsidR="00824C5D" w:rsidRPr="001C005E" w:rsidRDefault="00824C5D" w:rsidP="00824C5D">
      <w:pPr>
        <w:ind w:right="-1"/>
        <w:rPr>
          <w:rFonts w:ascii="Times New Roman" w:hAnsi="Times New Roman" w:cs="Times New Roman"/>
          <w:sz w:val="24"/>
          <w:szCs w:val="24"/>
          <w:lang w:val="en-US"/>
        </w:rPr>
      </w:pPr>
      <w:r>
        <w:rPr>
          <w:rFonts w:ascii="Times New Roman" w:hAnsi="Times New Roman" w:cs="Times New Roman"/>
          <w:sz w:val="24"/>
          <w:szCs w:val="24"/>
        </w:rPr>
        <w:t xml:space="preserve">AGÊNCIA NACIONAL DAS ÁGUAS (ANA). Conjuntura de recursos hídricos no Brasil. </w:t>
      </w:r>
      <w:r w:rsidRPr="001C005E">
        <w:rPr>
          <w:rFonts w:ascii="Times New Roman" w:hAnsi="Times New Roman" w:cs="Times New Roman"/>
          <w:b/>
          <w:sz w:val="24"/>
          <w:szCs w:val="24"/>
          <w:lang w:val="en-US"/>
        </w:rPr>
        <w:t>Encarte especial sobre a crise</w:t>
      </w:r>
      <w:r w:rsidRPr="001C005E">
        <w:rPr>
          <w:rFonts w:ascii="Times New Roman" w:hAnsi="Times New Roman" w:cs="Times New Roman"/>
          <w:sz w:val="24"/>
          <w:szCs w:val="24"/>
          <w:lang w:val="en-US"/>
        </w:rPr>
        <w:t xml:space="preserve">, 2014. </w:t>
      </w:r>
    </w:p>
    <w:p w:rsidR="00824C5D" w:rsidRPr="00A94188" w:rsidRDefault="00824C5D" w:rsidP="00824C5D">
      <w:pPr>
        <w:ind w:right="-1"/>
        <w:rPr>
          <w:rFonts w:ascii="Times New Roman" w:eastAsia="Times New Roman" w:hAnsi="Times New Roman" w:cs="Times New Roman"/>
          <w:b/>
          <w:sz w:val="24"/>
          <w:szCs w:val="24"/>
          <w:lang w:val="en-US"/>
        </w:rPr>
      </w:pPr>
    </w:p>
    <w:p w:rsidR="00824C5D" w:rsidRPr="00A94188"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CASTAÑEDA, B.E. An index of sustainable economic welfare (ISEW) for Chile. </w:t>
      </w:r>
      <w:r w:rsidRPr="00A94188">
        <w:rPr>
          <w:rFonts w:ascii="Times New Roman" w:eastAsia="Times New Roman" w:hAnsi="Times New Roman" w:cs="Times New Roman"/>
          <w:b/>
          <w:sz w:val="24"/>
          <w:szCs w:val="24"/>
          <w:lang w:val="en-US"/>
        </w:rPr>
        <w:t>Ecological Economics</w:t>
      </w:r>
      <w:r w:rsidRPr="00A94188">
        <w:rPr>
          <w:rFonts w:ascii="Times New Roman" w:eastAsia="Times New Roman" w:hAnsi="Times New Roman" w:cs="Times New Roman"/>
          <w:sz w:val="24"/>
          <w:szCs w:val="24"/>
          <w:lang w:val="en-US"/>
        </w:rPr>
        <w:t>, v.28, p. 231-244, 1999.</w:t>
      </w:r>
    </w:p>
    <w:p w:rsidR="00824C5D" w:rsidRDefault="00824C5D" w:rsidP="00824C5D">
      <w:pPr>
        <w:ind w:right="-1"/>
        <w:jc w:val="both"/>
        <w:rPr>
          <w:rFonts w:ascii="Times New Roman" w:eastAsia="Times New Roman" w:hAnsi="Times New Roman" w:cs="Times New Roman"/>
          <w:b/>
          <w:sz w:val="24"/>
          <w:szCs w:val="24"/>
          <w:lang w:val="en-US"/>
        </w:rPr>
      </w:pPr>
    </w:p>
    <w:p w:rsidR="00824C5D" w:rsidRPr="00C13F5F"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DALY, H.E.; COBB, J.B.J. For the common good: redirecting the economy toward community, the environmental, and a sustainable future. </w:t>
      </w:r>
      <w:r w:rsidRPr="006A7E81">
        <w:rPr>
          <w:rFonts w:ascii="Times New Roman" w:eastAsia="Times New Roman" w:hAnsi="Times New Roman" w:cs="Times New Roman"/>
          <w:b/>
          <w:sz w:val="24"/>
          <w:szCs w:val="24"/>
          <w:lang w:val="en-US"/>
        </w:rPr>
        <w:t>Beacon Press</w:t>
      </w:r>
      <w:r w:rsidRPr="006A7E81">
        <w:rPr>
          <w:rFonts w:ascii="Times New Roman" w:eastAsia="Times New Roman" w:hAnsi="Times New Roman" w:cs="Times New Roman"/>
          <w:sz w:val="24"/>
          <w:szCs w:val="24"/>
          <w:lang w:val="en-US"/>
        </w:rPr>
        <w:t>, v. 2, 1994.</w:t>
      </w:r>
    </w:p>
    <w:p w:rsidR="00824C5D" w:rsidRPr="006A7E81" w:rsidRDefault="00824C5D" w:rsidP="00824C5D">
      <w:pPr>
        <w:ind w:right="-1"/>
        <w:rPr>
          <w:rFonts w:ascii="Times New Roman" w:eastAsia="Times New Roman" w:hAnsi="Times New Roman" w:cs="Times New Roman"/>
          <w:sz w:val="24"/>
          <w:szCs w:val="24"/>
          <w:lang w:val="en-US"/>
        </w:rPr>
      </w:pPr>
    </w:p>
    <w:p w:rsidR="00824C5D" w:rsidRPr="00B26788"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ESTES, R. et al. Environmental sustainability index: benchmarking national environmental stewardship. </w:t>
      </w:r>
      <w:r w:rsidRPr="00B26788">
        <w:rPr>
          <w:rFonts w:ascii="Times New Roman" w:eastAsia="Times New Roman" w:hAnsi="Times New Roman" w:cs="Times New Roman"/>
          <w:b/>
          <w:sz w:val="24"/>
          <w:szCs w:val="24"/>
          <w:lang w:val="en-US"/>
        </w:rPr>
        <w:t>Yale Center for Environmental Law and Policy</w:t>
      </w:r>
      <w:r w:rsidRPr="00B26788">
        <w:rPr>
          <w:rFonts w:ascii="Times New Roman" w:eastAsia="Times New Roman" w:hAnsi="Times New Roman" w:cs="Times New Roman"/>
          <w:sz w:val="24"/>
          <w:szCs w:val="24"/>
          <w:lang w:val="en-US"/>
        </w:rPr>
        <w:t>, 2005.</w:t>
      </w:r>
    </w:p>
    <w:p w:rsidR="00824C5D" w:rsidRPr="00B26788" w:rsidRDefault="00824C5D" w:rsidP="00824C5D">
      <w:pPr>
        <w:ind w:right="-1"/>
        <w:rPr>
          <w:rFonts w:ascii="Times New Roman" w:eastAsia="Times New Roman" w:hAnsi="Times New Roman" w:cs="Times New Roman"/>
          <w:sz w:val="24"/>
          <w:szCs w:val="24"/>
          <w:lang w:val="en-US"/>
        </w:rPr>
      </w:pPr>
    </w:p>
    <w:p w:rsidR="00824C5D" w:rsidRPr="005E7892" w:rsidRDefault="00824C5D" w:rsidP="00824C5D">
      <w:pPr>
        <w:ind w:right="-1"/>
        <w:rPr>
          <w:rFonts w:ascii="Times New Roman" w:eastAsia="Times New Roman" w:hAnsi="Times New Roman" w:cs="Times New Roman"/>
          <w:sz w:val="24"/>
          <w:szCs w:val="24"/>
          <w:lang w:val="en-US"/>
        </w:rPr>
      </w:pPr>
      <w:r w:rsidRPr="005E7892">
        <w:rPr>
          <w:rFonts w:ascii="Times New Roman" w:eastAsia="Times New Roman" w:hAnsi="Times New Roman" w:cs="Times New Roman"/>
          <w:sz w:val="24"/>
          <w:szCs w:val="24"/>
          <w:lang w:val="en-US"/>
        </w:rPr>
        <w:t xml:space="preserve">GEORGESCU-ROEGEN, N. The entropy law and the economic process. </w:t>
      </w:r>
      <w:r>
        <w:rPr>
          <w:rFonts w:ascii="Times New Roman" w:eastAsia="Times New Roman" w:hAnsi="Times New Roman" w:cs="Times New Roman"/>
          <w:sz w:val="24"/>
          <w:szCs w:val="24"/>
          <w:lang w:val="en-US"/>
        </w:rPr>
        <w:t>Cambridge, MA: Harvard University Press, 1971.</w:t>
      </w:r>
    </w:p>
    <w:p w:rsidR="00824C5D" w:rsidRPr="005E7892" w:rsidRDefault="00824C5D" w:rsidP="00824C5D">
      <w:pPr>
        <w:ind w:right="-1"/>
        <w:rPr>
          <w:rFonts w:ascii="Times New Roman" w:eastAsia="Times New Roman" w:hAnsi="Times New Roman" w:cs="Times New Roman"/>
          <w:sz w:val="24"/>
          <w:szCs w:val="24"/>
          <w:lang w:val="en-US"/>
        </w:rPr>
      </w:pPr>
    </w:p>
    <w:p w:rsidR="00824C5D" w:rsidRPr="006A7E81"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GETULIO VARGAS FOUNDATION; BRAZILIAN FEDERATION OF BANKS. The Brazilian financial system and the green economy. São Paulo: FEBRABAN, 2014.</w:t>
      </w:r>
    </w:p>
    <w:p w:rsidR="00824C5D"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HOTELLING, H. The economics of exhaustible resources. </w:t>
      </w:r>
      <w:r w:rsidRPr="006A7E81">
        <w:rPr>
          <w:rFonts w:ascii="Times New Roman" w:eastAsia="Times New Roman" w:hAnsi="Times New Roman" w:cs="Times New Roman"/>
          <w:b/>
          <w:sz w:val="24"/>
          <w:szCs w:val="24"/>
          <w:lang w:val="en-US"/>
        </w:rPr>
        <w:t>Journal of Political Economy</w:t>
      </w:r>
      <w:r w:rsidRPr="006A7E81">
        <w:rPr>
          <w:rFonts w:ascii="Times New Roman" w:eastAsia="Times New Roman" w:hAnsi="Times New Roman" w:cs="Times New Roman"/>
          <w:sz w:val="24"/>
          <w:szCs w:val="24"/>
          <w:lang w:val="en-US"/>
        </w:rPr>
        <w:t>, v. 39, p.137-175, 1931.</w:t>
      </w:r>
    </w:p>
    <w:p w:rsidR="00824C5D" w:rsidRDefault="00824C5D" w:rsidP="00824C5D">
      <w:pPr>
        <w:ind w:right="-1"/>
        <w:rPr>
          <w:rFonts w:ascii="Times New Roman" w:eastAsia="Times New Roman" w:hAnsi="Times New Roman" w:cs="Times New Roman"/>
          <w:sz w:val="24"/>
          <w:szCs w:val="24"/>
          <w:lang w:val="en-US"/>
        </w:rPr>
      </w:pPr>
    </w:p>
    <w:p w:rsidR="00824C5D" w:rsidRPr="004F1E64" w:rsidRDefault="00824C5D" w:rsidP="00824C5D">
      <w:pPr>
        <w:ind w:right="-1"/>
        <w:rPr>
          <w:rFonts w:ascii="Times New Roman" w:eastAsia="Times New Roman" w:hAnsi="Times New Roman" w:cs="Times New Roman"/>
          <w:sz w:val="24"/>
          <w:szCs w:val="24"/>
          <w:lang w:val="en-US"/>
        </w:rPr>
      </w:pPr>
      <w:r w:rsidRPr="0001453B">
        <w:rPr>
          <w:rFonts w:ascii="Times New Roman" w:eastAsia="Times New Roman" w:hAnsi="Times New Roman" w:cs="Times New Roman"/>
          <w:sz w:val="24"/>
          <w:szCs w:val="24"/>
          <w:lang w:val="en-US"/>
        </w:rPr>
        <w:t xml:space="preserve">JACKSON, T. </w:t>
      </w:r>
      <w:r w:rsidRPr="0001453B">
        <w:rPr>
          <w:rFonts w:ascii="Times New Roman" w:eastAsia="Times New Roman" w:hAnsi="Times New Roman" w:cs="Times New Roman"/>
          <w:b/>
          <w:sz w:val="24"/>
          <w:szCs w:val="24"/>
          <w:lang w:val="en-US"/>
        </w:rPr>
        <w:t>Prosperity without growth?</w:t>
      </w:r>
      <w:r w:rsidRPr="0001453B">
        <w:rPr>
          <w:rFonts w:ascii="Times New Roman" w:eastAsia="Times New Roman" w:hAnsi="Times New Roman" w:cs="Times New Roman"/>
          <w:sz w:val="24"/>
          <w:szCs w:val="24"/>
          <w:lang w:val="en-US"/>
        </w:rPr>
        <w:t xml:space="preserve"> London: Sustainable Development Commision, 2009.</w:t>
      </w:r>
    </w:p>
    <w:p w:rsidR="00824C5D" w:rsidRDefault="00824C5D" w:rsidP="00824C5D">
      <w:pPr>
        <w:ind w:right="-1"/>
        <w:jc w:val="both"/>
        <w:rPr>
          <w:rFonts w:ascii="Times New Roman" w:eastAsia="Times New Roman" w:hAnsi="Times New Roman" w:cs="Times New Roman"/>
          <w:b/>
          <w:sz w:val="24"/>
          <w:szCs w:val="24"/>
          <w:lang w:val="en-US"/>
        </w:rPr>
      </w:pPr>
    </w:p>
    <w:p w:rsidR="00824C5D" w:rsidRPr="00582A1A" w:rsidRDefault="00824C5D" w:rsidP="00824C5D">
      <w:pPr>
        <w:ind w:right="-1"/>
        <w:rPr>
          <w:rFonts w:ascii="Times New Roman" w:eastAsia="Times New Roman" w:hAnsi="Times New Roman" w:cs="Times New Roman"/>
          <w:sz w:val="24"/>
          <w:szCs w:val="24"/>
          <w:lang w:val="en-US"/>
        </w:rPr>
      </w:pPr>
      <w:r w:rsidRPr="002024A2">
        <w:rPr>
          <w:rFonts w:ascii="Times New Roman" w:eastAsia="Times New Roman" w:hAnsi="Times New Roman" w:cs="Times New Roman"/>
          <w:sz w:val="24"/>
          <w:szCs w:val="24"/>
          <w:lang w:val="en-US"/>
        </w:rPr>
        <w:t xml:space="preserve">KALDOR, Nicholas. Conflicts in national economic objective. </w:t>
      </w:r>
      <w:r w:rsidRPr="00582A1A">
        <w:rPr>
          <w:rFonts w:ascii="Times New Roman" w:eastAsia="Times New Roman" w:hAnsi="Times New Roman" w:cs="Times New Roman"/>
          <w:b/>
          <w:sz w:val="24"/>
          <w:szCs w:val="24"/>
          <w:lang w:val="en-US"/>
        </w:rPr>
        <w:t>Economic</w:t>
      </w:r>
      <w:r w:rsidR="00582A1A" w:rsidRPr="00582A1A">
        <w:rPr>
          <w:rFonts w:ascii="Times New Roman" w:eastAsia="Times New Roman" w:hAnsi="Times New Roman" w:cs="Times New Roman"/>
          <w:b/>
          <w:sz w:val="24"/>
          <w:szCs w:val="24"/>
          <w:lang w:val="en-US"/>
        </w:rPr>
        <w:t xml:space="preserve"> </w:t>
      </w:r>
      <w:r w:rsidRPr="00582A1A">
        <w:rPr>
          <w:rFonts w:ascii="Times New Roman" w:eastAsia="Times New Roman" w:hAnsi="Times New Roman" w:cs="Times New Roman"/>
          <w:b/>
          <w:sz w:val="24"/>
          <w:szCs w:val="24"/>
          <w:lang w:val="en-US"/>
        </w:rPr>
        <w:t>Journal</w:t>
      </w:r>
      <w:r w:rsidRPr="00582A1A">
        <w:rPr>
          <w:rFonts w:ascii="Times New Roman" w:eastAsia="Times New Roman" w:hAnsi="Times New Roman" w:cs="Times New Roman"/>
          <w:sz w:val="24"/>
          <w:szCs w:val="24"/>
          <w:lang w:val="en-US"/>
        </w:rPr>
        <w:t>, v. 81, n.321, p.1-16,  1970.</w:t>
      </w:r>
    </w:p>
    <w:p w:rsidR="00824C5D" w:rsidRPr="00582A1A" w:rsidRDefault="00824C5D" w:rsidP="00824C5D">
      <w:pPr>
        <w:ind w:right="-1"/>
        <w:rPr>
          <w:rFonts w:ascii="Times New Roman" w:eastAsia="Times New Roman" w:hAnsi="Times New Roman" w:cs="Times New Roman"/>
          <w:sz w:val="24"/>
          <w:szCs w:val="24"/>
          <w:lang w:val="en-US"/>
        </w:rPr>
      </w:pPr>
    </w:p>
    <w:p w:rsidR="00824C5D" w:rsidRPr="00B26788"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rPr>
        <w:t xml:space="preserve">KEMERICH, P.D.C.; RITTER, L.G.; BORBA, W.F. Indicadores de sustentabilidade ambiental: métodos e aplicações. </w:t>
      </w:r>
      <w:r w:rsidRPr="00B26788">
        <w:rPr>
          <w:rFonts w:ascii="Times New Roman" w:eastAsia="Times New Roman" w:hAnsi="Times New Roman" w:cs="Times New Roman"/>
          <w:b/>
          <w:sz w:val="24"/>
          <w:szCs w:val="24"/>
          <w:lang w:val="en-US"/>
        </w:rPr>
        <w:t>Edição Especial LPMA/UFSM</w:t>
      </w:r>
      <w:r w:rsidRPr="00B26788">
        <w:rPr>
          <w:rFonts w:ascii="Times New Roman" w:eastAsia="Times New Roman" w:hAnsi="Times New Roman" w:cs="Times New Roman"/>
          <w:sz w:val="24"/>
          <w:szCs w:val="24"/>
          <w:lang w:val="en-US"/>
        </w:rPr>
        <w:t>, v. 13, n.5, 2014.</w:t>
      </w:r>
    </w:p>
    <w:p w:rsidR="00824C5D" w:rsidRPr="00B26788" w:rsidRDefault="00824C5D" w:rsidP="00824C5D">
      <w:pPr>
        <w:ind w:right="-1"/>
        <w:rPr>
          <w:rFonts w:ascii="Times New Roman" w:eastAsia="Times New Roman" w:hAnsi="Times New Roman" w:cs="Times New Roman"/>
          <w:sz w:val="24"/>
          <w:szCs w:val="24"/>
          <w:lang w:val="en-US"/>
        </w:rPr>
      </w:pPr>
    </w:p>
    <w:p w:rsidR="00824C5D" w:rsidRPr="00A94188" w:rsidRDefault="00824C5D" w:rsidP="00824C5D">
      <w:pPr>
        <w:ind w:right="-1"/>
        <w:rPr>
          <w:rFonts w:ascii="Times New Roman" w:eastAsia="Times New Roman" w:hAnsi="Times New Roman" w:cs="Times New Roman"/>
          <w:sz w:val="24"/>
          <w:szCs w:val="24"/>
        </w:rPr>
      </w:pPr>
      <w:r w:rsidRPr="006A7E81">
        <w:rPr>
          <w:rFonts w:ascii="Times New Roman" w:eastAsia="Times New Roman" w:hAnsi="Times New Roman" w:cs="Times New Roman"/>
          <w:sz w:val="24"/>
          <w:szCs w:val="24"/>
          <w:lang w:val="en-US"/>
        </w:rPr>
        <w:t xml:space="preserve">LAWN. P.A. A theorical foundation to support the Index of Sustainable Economic Welfare (ISEW), Genuine Progress Indicador (GPI), and other related indexes. </w:t>
      </w:r>
      <w:r w:rsidRPr="00A94188">
        <w:rPr>
          <w:rFonts w:ascii="Times New Roman" w:eastAsia="Times New Roman" w:hAnsi="Times New Roman" w:cs="Times New Roman"/>
          <w:b/>
          <w:sz w:val="24"/>
          <w:szCs w:val="24"/>
        </w:rPr>
        <w:t>Ecological</w:t>
      </w:r>
      <w:r w:rsidR="00582A1A">
        <w:rPr>
          <w:rFonts w:ascii="Times New Roman" w:eastAsia="Times New Roman" w:hAnsi="Times New Roman" w:cs="Times New Roman"/>
          <w:b/>
          <w:sz w:val="24"/>
          <w:szCs w:val="24"/>
        </w:rPr>
        <w:t xml:space="preserve"> </w:t>
      </w:r>
      <w:r w:rsidRPr="00A94188">
        <w:rPr>
          <w:rFonts w:ascii="Times New Roman" w:eastAsia="Times New Roman" w:hAnsi="Times New Roman" w:cs="Times New Roman"/>
          <w:b/>
          <w:sz w:val="24"/>
          <w:szCs w:val="24"/>
        </w:rPr>
        <w:t>Economics,</w:t>
      </w:r>
      <w:r w:rsidRPr="00A94188">
        <w:rPr>
          <w:rFonts w:ascii="Times New Roman" w:eastAsia="Times New Roman" w:hAnsi="Times New Roman" w:cs="Times New Roman"/>
          <w:sz w:val="24"/>
          <w:szCs w:val="24"/>
        </w:rPr>
        <w:t xml:space="preserve">  v. 44, n. 2, p. 105-118, 2003.</w:t>
      </w:r>
    </w:p>
    <w:p w:rsidR="00824C5D" w:rsidRPr="00A94188" w:rsidRDefault="00824C5D" w:rsidP="00824C5D">
      <w:pPr>
        <w:ind w:right="-1"/>
        <w:rPr>
          <w:rFonts w:ascii="Times New Roman" w:eastAsia="Times New Roman" w:hAnsi="Times New Roman" w:cs="Times New Roman"/>
          <w:sz w:val="24"/>
          <w:szCs w:val="24"/>
        </w:rPr>
      </w:pPr>
    </w:p>
    <w:p w:rsidR="00824C5D" w:rsidRDefault="00824C5D" w:rsidP="00824C5D">
      <w:pPr>
        <w:ind w:right="-1"/>
        <w:rPr>
          <w:rFonts w:ascii="Times New Roman" w:eastAsia="Times New Roman" w:hAnsi="Times New Roman" w:cs="Times New Roman"/>
          <w:sz w:val="24"/>
          <w:szCs w:val="24"/>
        </w:rPr>
      </w:pPr>
      <w:r w:rsidRPr="006A7E81">
        <w:rPr>
          <w:rFonts w:ascii="Times New Roman" w:eastAsia="Times New Roman" w:hAnsi="Times New Roman" w:cs="Times New Roman"/>
          <w:sz w:val="24"/>
          <w:szCs w:val="24"/>
        </w:rPr>
        <w:t>LEAL, R.A.; ELY, R.A.; UHR, J.G.Z.; UHR, D.A.P. Ciclos econômicos e emissão de CO</w:t>
      </w:r>
      <w:r w:rsidRPr="006A7E81">
        <w:rPr>
          <w:rFonts w:ascii="Times New Roman" w:eastAsia="Times New Roman" w:hAnsi="Times New Roman" w:cs="Times New Roman"/>
          <w:sz w:val="24"/>
          <w:szCs w:val="24"/>
          <w:vertAlign w:val="subscript"/>
        </w:rPr>
        <w:t>2</w:t>
      </w:r>
      <w:r w:rsidRPr="006A7E81">
        <w:rPr>
          <w:rFonts w:ascii="Times New Roman" w:eastAsia="Times New Roman" w:hAnsi="Times New Roman" w:cs="Times New Roman"/>
          <w:sz w:val="24"/>
          <w:szCs w:val="24"/>
        </w:rPr>
        <w:t xml:space="preserve"> no Brasil: Uma análise dinâmica para políticas ambientais ótimas. </w:t>
      </w:r>
      <w:r w:rsidRPr="006A7E81">
        <w:rPr>
          <w:rFonts w:ascii="Times New Roman" w:eastAsia="Times New Roman" w:hAnsi="Times New Roman" w:cs="Times New Roman"/>
          <w:b/>
          <w:sz w:val="24"/>
          <w:szCs w:val="24"/>
        </w:rPr>
        <w:t>Revista Brasileira de Economia</w:t>
      </w:r>
      <w:r w:rsidRPr="006A7E81">
        <w:rPr>
          <w:rFonts w:ascii="Times New Roman" w:eastAsia="Times New Roman" w:hAnsi="Times New Roman" w:cs="Times New Roman"/>
          <w:sz w:val="24"/>
          <w:szCs w:val="24"/>
        </w:rPr>
        <w:t>, v. 69, n. 1, p. 53-73, 2015.</w:t>
      </w:r>
    </w:p>
    <w:p w:rsidR="00824C5D" w:rsidRDefault="00824C5D" w:rsidP="00824C5D">
      <w:pPr>
        <w:ind w:right="-1"/>
        <w:rPr>
          <w:rFonts w:ascii="Times New Roman" w:eastAsia="Times New Roman" w:hAnsi="Times New Roman" w:cs="Times New Roman"/>
          <w:sz w:val="24"/>
          <w:szCs w:val="24"/>
        </w:rPr>
      </w:pPr>
    </w:p>
    <w:p w:rsidR="00824C5D" w:rsidRPr="00582A1A" w:rsidRDefault="00824C5D" w:rsidP="00824C5D">
      <w:pPr>
        <w:ind w:right="-1"/>
        <w:rPr>
          <w:rFonts w:ascii="Times New Roman" w:eastAsia="Times New Roman" w:hAnsi="Times New Roman" w:cs="Times New Roman"/>
          <w:sz w:val="24"/>
          <w:szCs w:val="24"/>
        </w:rPr>
      </w:pPr>
      <w:r w:rsidRPr="00582A1A">
        <w:rPr>
          <w:rFonts w:ascii="Times New Roman" w:eastAsia="Times New Roman" w:hAnsi="Times New Roman" w:cs="Times New Roman"/>
          <w:sz w:val="24"/>
          <w:szCs w:val="24"/>
        </w:rPr>
        <w:t>MARIEN, M. 3 Global sustainability</w:t>
      </w:r>
      <w:r w:rsidR="00582A1A" w:rsidRPr="00582A1A">
        <w:rPr>
          <w:rFonts w:ascii="Times New Roman" w:eastAsia="Times New Roman" w:hAnsi="Times New Roman" w:cs="Times New Roman"/>
          <w:sz w:val="24"/>
          <w:szCs w:val="24"/>
        </w:rPr>
        <w:t xml:space="preserve"> </w:t>
      </w:r>
      <w:r w:rsidRPr="00582A1A">
        <w:rPr>
          <w:rFonts w:ascii="Times New Roman" w:eastAsia="Times New Roman" w:hAnsi="Times New Roman" w:cs="Times New Roman"/>
          <w:sz w:val="24"/>
          <w:szCs w:val="24"/>
        </w:rPr>
        <w:t xml:space="preserve">leaders: Pope Francis, J. Sachs, &amp; N. Stern. </w:t>
      </w:r>
      <w:r w:rsidRPr="00582A1A">
        <w:rPr>
          <w:rFonts w:ascii="Times New Roman" w:eastAsia="Times New Roman" w:hAnsi="Times New Roman" w:cs="Times New Roman"/>
          <w:b/>
          <w:sz w:val="24"/>
          <w:szCs w:val="24"/>
        </w:rPr>
        <w:t>CADMUS</w:t>
      </w:r>
      <w:r w:rsidRPr="00582A1A">
        <w:rPr>
          <w:rFonts w:ascii="Times New Roman" w:eastAsia="Times New Roman" w:hAnsi="Times New Roman" w:cs="Times New Roman"/>
          <w:sz w:val="24"/>
          <w:szCs w:val="24"/>
        </w:rPr>
        <w:t>, v.2, n. 5, 2015.</w:t>
      </w:r>
    </w:p>
    <w:p w:rsidR="00824C5D" w:rsidRPr="00582A1A" w:rsidRDefault="00824C5D" w:rsidP="00824C5D">
      <w:pPr>
        <w:ind w:right="-1"/>
        <w:rPr>
          <w:rFonts w:ascii="Times New Roman" w:eastAsia="Times New Roman" w:hAnsi="Times New Roman" w:cs="Times New Roman"/>
          <w:sz w:val="24"/>
          <w:szCs w:val="24"/>
        </w:rPr>
      </w:pPr>
    </w:p>
    <w:p w:rsidR="00824C5D" w:rsidRPr="00E7715D"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MAX-NEEF, M. Economic growth and quality of life: a threshold hypothesis. </w:t>
      </w:r>
      <w:r w:rsidRPr="00E7715D">
        <w:rPr>
          <w:rFonts w:ascii="Times New Roman" w:eastAsia="Times New Roman" w:hAnsi="Times New Roman" w:cs="Times New Roman"/>
          <w:b/>
          <w:sz w:val="24"/>
          <w:szCs w:val="24"/>
          <w:lang w:val="en-US"/>
        </w:rPr>
        <w:t>Ecological</w:t>
      </w:r>
      <w:r w:rsidR="00582A1A" w:rsidRPr="00E7715D">
        <w:rPr>
          <w:rFonts w:ascii="Times New Roman" w:eastAsia="Times New Roman" w:hAnsi="Times New Roman" w:cs="Times New Roman"/>
          <w:b/>
          <w:sz w:val="24"/>
          <w:szCs w:val="24"/>
          <w:lang w:val="en-US"/>
        </w:rPr>
        <w:t xml:space="preserve"> </w:t>
      </w:r>
      <w:r w:rsidRPr="00E7715D">
        <w:rPr>
          <w:rFonts w:ascii="Times New Roman" w:eastAsia="Times New Roman" w:hAnsi="Times New Roman" w:cs="Times New Roman"/>
          <w:b/>
          <w:sz w:val="24"/>
          <w:szCs w:val="24"/>
          <w:lang w:val="en-US"/>
        </w:rPr>
        <w:t xml:space="preserve">Ecoomics, </w:t>
      </w:r>
      <w:r w:rsidRPr="00E7715D">
        <w:rPr>
          <w:rFonts w:ascii="Times New Roman" w:eastAsia="Times New Roman" w:hAnsi="Times New Roman" w:cs="Times New Roman"/>
          <w:sz w:val="24"/>
          <w:szCs w:val="24"/>
          <w:lang w:val="en-US"/>
        </w:rPr>
        <w:t xml:space="preserve">v. 15, n. 2, p. 115-118, 1995. </w:t>
      </w:r>
    </w:p>
    <w:p w:rsidR="00824C5D" w:rsidRPr="00E7715D" w:rsidRDefault="00824C5D" w:rsidP="00824C5D">
      <w:pPr>
        <w:ind w:right="-1"/>
        <w:rPr>
          <w:rFonts w:ascii="Times New Roman" w:eastAsia="Times New Roman" w:hAnsi="Times New Roman" w:cs="Times New Roman"/>
          <w:sz w:val="24"/>
          <w:szCs w:val="24"/>
          <w:lang w:val="en-US"/>
        </w:rPr>
      </w:pPr>
    </w:p>
    <w:p w:rsidR="00824C5D" w:rsidRPr="006A7E81" w:rsidRDefault="00824C5D" w:rsidP="00824C5D">
      <w:pPr>
        <w:ind w:right="-1"/>
        <w:jc w:val="both"/>
        <w:rPr>
          <w:rFonts w:ascii="Times New Roman" w:eastAsia="Times New Roman" w:hAnsi="Times New Roman" w:cs="Times New Roman"/>
          <w:sz w:val="24"/>
          <w:szCs w:val="24"/>
        </w:rPr>
      </w:pPr>
      <w:r w:rsidRPr="00E7715D">
        <w:rPr>
          <w:rFonts w:ascii="Times New Roman" w:eastAsia="Times New Roman" w:hAnsi="Times New Roman" w:cs="Times New Roman"/>
          <w:sz w:val="24"/>
          <w:szCs w:val="24"/>
          <w:lang w:val="en-US"/>
        </w:rPr>
        <w:t>MEDRANO, R.; TEIXEIRA, J.R. A kaldorian</w:t>
      </w:r>
      <w:r w:rsidR="00582A1A" w:rsidRPr="00E7715D">
        <w:rPr>
          <w:rFonts w:ascii="Times New Roman" w:eastAsia="Times New Roman" w:hAnsi="Times New Roman" w:cs="Times New Roman"/>
          <w:sz w:val="24"/>
          <w:szCs w:val="24"/>
          <w:lang w:val="en-US"/>
        </w:rPr>
        <w:t xml:space="preserve"> </w:t>
      </w:r>
      <w:r w:rsidRPr="00E7715D">
        <w:rPr>
          <w:rFonts w:ascii="Times New Roman" w:eastAsia="Times New Roman" w:hAnsi="Times New Roman" w:cs="Times New Roman"/>
          <w:sz w:val="24"/>
          <w:szCs w:val="24"/>
          <w:lang w:val="en-US"/>
        </w:rPr>
        <w:t>macroeconomic index of</w:t>
      </w:r>
      <w:r w:rsidR="00E7715D" w:rsidRPr="00E7715D">
        <w:rPr>
          <w:rFonts w:ascii="Times New Roman" w:eastAsia="Times New Roman" w:hAnsi="Times New Roman" w:cs="Times New Roman"/>
          <w:sz w:val="24"/>
          <w:szCs w:val="24"/>
          <w:lang w:val="en-US"/>
        </w:rPr>
        <w:t xml:space="preserve"> e</w:t>
      </w:r>
      <w:r w:rsidRPr="00E7715D">
        <w:rPr>
          <w:rFonts w:ascii="Times New Roman" w:eastAsia="Times New Roman" w:hAnsi="Times New Roman" w:cs="Times New Roman"/>
          <w:sz w:val="24"/>
          <w:szCs w:val="24"/>
          <w:lang w:val="en-US"/>
        </w:rPr>
        <w:t>conomic</w:t>
      </w:r>
      <w:r w:rsidR="00582A1A" w:rsidRPr="00E7715D">
        <w:rPr>
          <w:rFonts w:ascii="Times New Roman" w:eastAsia="Times New Roman" w:hAnsi="Times New Roman" w:cs="Times New Roman"/>
          <w:sz w:val="24"/>
          <w:szCs w:val="24"/>
          <w:lang w:val="en-US"/>
        </w:rPr>
        <w:t xml:space="preserve"> </w:t>
      </w:r>
      <w:r w:rsidRPr="00E7715D">
        <w:rPr>
          <w:rFonts w:ascii="Times New Roman" w:eastAsia="Times New Roman" w:hAnsi="Times New Roman" w:cs="Times New Roman"/>
          <w:sz w:val="24"/>
          <w:szCs w:val="24"/>
          <w:lang w:val="en-US"/>
        </w:rPr>
        <w:t xml:space="preserve">welfare. </w:t>
      </w:r>
      <w:r w:rsidRPr="006A7E81">
        <w:rPr>
          <w:rFonts w:ascii="Times New Roman" w:eastAsia="Times New Roman" w:hAnsi="Times New Roman" w:cs="Times New Roman"/>
          <w:b/>
          <w:sz w:val="24"/>
          <w:szCs w:val="24"/>
        </w:rPr>
        <w:t>Revista de História Econômica &amp; Economia Regional Aplicada</w:t>
      </w:r>
      <w:r w:rsidRPr="006A7E81">
        <w:rPr>
          <w:rFonts w:ascii="Times New Roman" w:eastAsia="Times New Roman" w:hAnsi="Times New Roman" w:cs="Times New Roman"/>
          <w:sz w:val="24"/>
          <w:szCs w:val="24"/>
        </w:rPr>
        <w:t>, v. 8, n. 14, 2013.</w:t>
      </w:r>
    </w:p>
    <w:p w:rsidR="00824C5D" w:rsidRPr="006A7E81" w:rsidRDefault="00824C5D" w:rsidP="00824C5D">
      <w:pPr>
        <w:ind w:right="-1"/>
        <w:jc w:val="both"/>
        <w:rPr>
          <w:rFonts w:ascii="Times New Roman" w:eastAsia="Times New Roman" w:hAnsi="Times New Roman" w:cs="Times New Roman"/>
          <w:sz w:val="24"/>
          <w:szCs w:val="24"/>
        </w:rPr>
      </w:pPr>
    </w:p>
    <w:p w:rsidR="00824C5D" w:rsidRPr="00902BCA" w:rsidRDefault="00824C5D" w:rsidP="00824C5D">
      <w:pPr>
        <w:ind w:right="-1"/>
        <w:jc w:val="both"/>
        <w:rPr>
          <w:rFonts w:ascii="Times New Roman" w:eastAsia="Times New Roman" w:hAnsi="Times New Roman" w:cs="Times New Roman"/>
          <w:sz w:val="24"/>
          <w:szCs w:val="24"/>
        </w:rPr>
      </w:pPr>
      <w:r w:rsidRPr="00902BCA">
        <w:rPr>
          <w:rFonts w:ascii="Times New Roman" w:eastAsia="Times New Roman" w:hAnsi="Times New Roman" w:cs="Times New Roman"/>
          <w:sz w:val="24"/>
          <w:szCs w:val="24"/>
        </w:rPr>
        <w:t>NORDHAUS, W.</w:t>
      </w:r>
      <w:r w:rsidR="00E7715D" w:rsidRPr="00902BCA">
        <w:rPr>
          <w:rFonts w:ascii="Times New Roman" w:eastAsia="Times New Roman" w:hAnsi="Times New Roman" w:cs="Times New Roman"/>
          <w:sz w:val="24"/>
          <w:szCs w:val="24"/>
        </w:rPr>
        <w:t xml:space="preserve"> </w:t>
      </w:r>
      <w:r w:rsidRPr="00902BCA">
        <w:rPr>
          <w:rFonts w:ascii="Times New Roman" w:eastAsia="Times New Roman" w:hAnsi="Times New Roman" w:cs="Times New Roman"/>
          <w:sz w:val="24"/>
          <w:szCs w:val="24"/>
        </w:rPr>
        <w:t>D.; TOBIN, J. I</w:t>
      </w:r>
      <w:r w:rsidR="00E7715D" w:rsidRPr="00902BCA">
        <w:rPr>
          <w:rFonts w:ascii="Times New Roman" w:eastAsia="Times New Roman" w:hAnsi="Times New Roman" w:cs="Times New Roman"/>
          <w:sz w:val="24"/>
          <w:szCs w:val="24"/>
        </w:rPr>
        <w:t>s</w:t>
      </w:r>
      <w:r w:rsidRPr="00902BCA">
        <w:rPr>
          <w:rFonts w:ascii="Times New Roman" w:eastAsia="Times New Roman" w:hAnsi="Times New Roman" w:cs="Times New Roman"/>
          <w:sz w:val="24"/>
          <w:szCs w:val="24"/>
        </w:rPr>
        <w:t xml:space="preserve"> growth obsolete? </w:t>
      </w:r>
      <w:r w:rsidRPr="00902BCA">
        <w:rPr>
          <w:rFonts w:ascii="Times New Roman" w:eastAsia="Times New Roman" w:hAnsi="Times New Roman" w:cs="Times New Roman"/>
          <w:b/>
          <w:sz w:val="24"/>
          <w:szCs w:val="24"/>
        </w:rPr>
        <w:t>NBER</w:t>
      </w:r>
      <w:r w:rsidRPr="00902BCA">
        <w:rPr>
          <w:rFonts w:ascii="Times New Roman" w:eastAsia="Times New Roman" w:hAnsi="Times New Roman" w:cs="Times New Roman"/>
          <w:sz w:val="24"/>
          <w:szCs w:val="24"/>
        </w:rPr>
        <w:t>, v.5, p. 1-80, 1072.</w:t>
      </w:r>
    </w:p>
    <w:p w:rsidR="00824C5D" w:rsidRPr="00902BCA" w:rsidRDefault="00824C5D" w:rsidP="00824C5D">
      <w:pPr>
        <w:ind w:right="-1"/>
        <w:jc w:val="both"/>
        <w:rPr>
          <w:rFonts w:ascii="Times New Roman" w:eastAsia="Times New Roman" w:hAnsi="Times New Roman" w:cs="Times New Roman"/>
          <w:sz w:val="24"/>
          <w:szCs w:val="24"/>
        </w:rPr>
      </w:pPr>
    </w:p>
    <w:p w:rsidR="00824C5D" w:rsidRDefault="00824C5D" w:rsidP="00824C5D">
      <w:pPr>
        <w:ind w:right="-1"/>
        <w:rPr>
          <w:rFonts w:ascii="Times New Roman" w:eastAsia="Times New Roman" w:hAnsi="Times New Roman" w:cs="Times New Roman"/>
          <w:sz w:val="24"/>
          <w:szCs w:val="24"/>
        </w:rPr>
      </w:pPr>
      <w:r w:rsidRPr="006A7E81">
        <w:rPr>
          <w:rFonts w:ascii="Times New Roman" w:eastAsia="Times New Roman" w:hAnsi="Times New Roman" w:cs="Times New Roman"/>
          <w:sz w:val="24"/>
          <w:szCs w:val="24"/>
        </w:rPr>
        <w:t>OBSERVATÓRIO DO CLIMA. Análise das emissões de GEE Brasil (1970-2014) e suas implicações para políticas públicas e a contribuição brasileira para o Acordo de Paris. Documento Síntese, 2016. Disponível em: &lt;</w:t>
      </w:r>
      <w:hyperlink r:id="rId11" w:history="1">
        <w:r w:rsidRPr="006A7E81">
          <w:rPr>
            <w:rFonts w:ascii="Times New Roman" w:eastAsia="Times New Roman" w:hAnsi="Times New Roman" w:cs="Times New Roman"/>
            <w:color w:val="0563C1"/>
            <w:sz w:val="24"/>
            <w:szCs w:val="24"/>
            <w:u w:val="single"/>
          </w:rPr>
          <w:t>http://www.observatoriodoclima.eco.br/</w:t>
        </w:r>
      </w:hyperlink>
      <w:r w:rsidRPr="006A7E81">
        <w:rPr>
          <w:rFonts w:ascii="Times New Roman" w:eastAsia="Times New Roman" w:hAnsi="Times New Roman" w:cs="Times New Roman"/>
          <w:sz w:val="24"/>
          <w:szCs w:val="24"/>
        </w:rPr>
        <w:t xml:space="preserve">&gt;. Acesso em: Outubro de 2016.  </w:t>
      </w:r>
    </w:p>
    <w:p w:rsidR="00824C5D" w:rsidRDefault="00824C5D" w:rsidP="00824C5D">
      <w:pPr>
        <w:ind w:right="-1"/>
        <w:rPr>
          <w:rFonts w:ascii="Times New Roman" w:eastAsia="Times New Roman" w:hAnsi="Times New Roman" w:cs="Times New Roman"/>
          <w:sz w:val="24"/>
          <w:szCs w:val="24"/>
        </w:rPr>
      </w:pPr>
    </w:p>
    <w:p w:rsidR="00824C5D" w:rsidRPr="006A7E81"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ROCKSTROM, J. et al. A safe operating space for humanity. </w:t>
      </w:r>
      <w:r w:rsidRPr="006A7E81">
        <w:rPr>
          <w:rFonts w:ascii="Times New Roman" w:eastAsia="Times New Roman" w:hAnsi="Times New Roman" w:cs="Times New Roman"/>
          <w:b/>
          <w:sz w:val="24"/>
          <w:szCs w:val="24"/>
          <w:lang w:val="en-US"/>
        </w:rPr>
        <w:t>Nature</w:t>
      </w:r>
      <w:r w:rsidRPr="006A7E81">
        <w:rPr>
          <w:rFonts w:ascii="Times New Roman" w:eastAsia="Times New Roman" w:hAnsi="Times New Roman" w:cs="Times New Roman"/>
          <w:sz w:val="24"/>
          <w:szCs w:val="24"/>
          <w:lang w:val="en-US"/>
        </w:rPr>
        <w:t>, v. 461, 2009</w:t>
      </w:r>
    </w:p>
    <w:p w:rsidR="00824C5D" w:rsidRPr="006A7E81"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HOLLING, C.S Resilience and stability of ecological systems. </w:t>
      </w:r>
      <w:r w:rsidRPr="006A7E81">
        <w:rPr>
          <w:rFonts w:ascii="Times New Roman" w:eastAsia="Times New Roman" w:hAnsi="Times New Roman" w:cs="Times New Roman"/>
          <w:b/>
          <w:sz w:val="24"/>
          <w:szCs w:val="24"/>
          <w:lang w:val="en-US"/>
        </w:rPr>
        <w:t>Annual Review of Ecology and Systematics</w:t>
      </w:r>
      <w:r w:rsidRPr="006A7E81">
        <w:rPr>
          <w:rFonts w:ascii="Times New Roman" w:eastAsia="Times New Roman" w:hAnsi="Times New Roman" w:cs="Times New Roman"/>
          <w:sz w:val="24"/>
          <w:szCs w:val="24"/>
          <w:lang w:val="en-US"/>
        </w:rPr>
        <w:t>, p. 1-23, 1973.</w:t>
      </w:r>
    </w:p>
    <w:p w:rsidR="00824C5D" w:rsidRPr="006A7E81" w:rsidRDefault="00824C5D" w:rsidP="00824C5D">
      <w:pPr>
        <w:ind w:right="-1"/>
        <w:rPr>
          <w:rFonts w:ascii="Times New Roman" w:eastAsia="Times New Roman" w:hAnsi="Times New Roman" w:cs="Times New Roman"/>
          <w:sz w:val="24"/>
          <w:szCs w:val="24"/>
          <w:lang w:val="en-US"/>
        </w:rPr>
      </w:pPr>
    </w:p>
    <w:p w:rsidR="00824C5D" w:rsidRPr="00406A7A" w:rsidRDefault="00824C5D" w:rsidP="00824C5D">
      <w:pPr>
        <w:ind w:right="-1"/>
        <w:rPr>
          <w:rFonts w:ascii="Times New Roman" w:eastAsia="Times New Roman" w:hAnsi="Times New Roman" w:cs="Times New Roman"/>
          <w:sz w:val="24"/>
          <w:szCs w:val="24"/>
        </w:rPr>
      </w:pPr>
      <w:r w:rsidRPr="006A7E81">
        <w:rPr>
          <w:rFonts w:ascii="Times New Roman" w:eastAsia="Times New Roman" w:hAnsi="Times New Roman" w:cs="Times New Roman"/>
          <w:sz w:val="24"/>
          <w:szCs w:val="24"/>
          <w:lang w:val="en-US"/>
        </w:rPr>
        <w:t xml:space="preserve">SAAVEDRA-RIVANO, N. TEIXEIRA, J. Magic Hypercube and Index of Welfare and Sustainability. </w:t>
      </w:r>
      <w:r w:rsidR="00406A7A" w:rsidRPr="00406A7A">
        <w:rPr>
          <w:rFonts w:ascii="Times New Roman" w:eastAsia="Times New Roman" w:hAnsi="Times New Roman" w:cs="Times New Roman"/>
          <w:sz w:val="24"/>
          <w:szCs w:val="24"/>
        </w:rPr>
        <w:t xml:space="preserve">EcomomiA, </w:t>
      </w:r>
      <w:r w:rsidR="00FE6E30" w:rsidRPr="00406A7A">
        <w:rPr>
          <w:rFonts w:ascii="Times New Roman" w:eastAsia="Times New Roman" w:hAnsi="Times New Roman" w:cs="Times New Roman"/>
          <w:sz w:val="24"/>
          <w:szCs w:val="24"/>
        </w:rPr>
        <w:t>2016.</w:t>
      </w:r>
      <w:r w:rsidR="00406A7A" w:rsidRPr="00406A7A">
        <w:rPr>
          <w:rFonts w:ascii="Times New Roman" w:eastAsia="Times New Roman" w:hAnsi="Times New Roman" w:cs="Times New Roman"/>
          <w:sz w:val="24"/>
          <w:szCs w:val="24"/>
        </w:rPr>
        <w:t xml:space="preserve"> </w:t>
      </w:r>
      <w:r w:rsidR="00406A7A">
        <w:rPr>
          <w:rFonts w:ascii="Times New Roman" w:eastAsia="Times New Roman" w:hAnsi="Times New Roman" w:cs="Times New Roman"/>
          <w:sz w:val="24"/>
          <w:szCs w:val="24"/>
        </w:rPr>
        <w:t>Disponível em</w:t>
      </w:r>
      <w:r w:rsidR="00406A7A" w:rsidRPr="006A7E81">
        <w:rPr>
          <w:rFonts w:ascii="Times New Roman" w:eastAsia="Times New Roman" w:hAnsi="Times New Roman" w:cs="Times New Roman"/>
          <w:sz w:val="24"/>
          <w:szCs w:val="24"/>
        </w:rPr>
        <w:t>:</w:t>
      </w:r>
      <w:r w:rsidR="00406A7A">
        <w:rPr>
          <w:rFonts w:ascii="Times New Roman" w:eastAsia="Times New Roman" w:hAnsi="Times New Roman" w:cs="Times New Roman"/>
          <w:sz w:val="24"/>
          <w:szCs w:val="24"/>
        </w:rPr>
        <w:t xml:space="preserve"> </w:t>
      </w:r>
      <w:r w:rsidR="00406A7A" w:rsidRPr="006A7E81">
        <w:rPr>
          <w:rFonts w:ascii="Times New Roman" w:eastAsia="Times New Roman" w:hAnsi="Times New Roman" w:cs="Times New Roman"/>
          <w:sz w:val="24"/>
          <w:szCs w:val="24"/>
        </w:rPr>
        <w:t>&lt;</w:t>
      </w:r>
      <w:hyperlink r:id="rId12" w:history="1">
        <w:r w:rsidR="00406A7A" w:rsidRPr="00A4360B">
          <w:rPr>
            <w:rStyle w:val="Hyperlink"/>
            <w:rFonts w:ascii="Times New Roman" w:eastAsia="Times New Roman" w:hAnsi="Times New Roman" w:cs="Times New Roman"/>
            <w:sz w:val="24"/>
            <w:szCs w:val="24"/>
          </w:rPr>
          <w:t>http://www.sciencedirect.com/</w:t>
        </w:r>
      </w:hyperlink>
      <w:r w:rsidR="00406A7A" w:rsidRPr="006A7E81">
        <w:rPr>
          <w:rFonts w:ascii="Times New Roman" w:eastAsia="Times New Roman" w:hAnsi="Times New Roman" w:cs="Times New Roman"/>
          <w:sz w:val="24"/>
          <w:szCs w:val="24"/>
        </w:rPr>
        <w:t>&gt;</w:t>
      </w:r>
    </w:p>
    <w:p w:rsidR="00824C5D" w:rsidRPr="00406A7A" w:rsidRDefault="00824C5D" w:rsidP="00824C5D">
      <w:pPr>
        <w:ind w:right="-1"/>
        <w:rPr>
          <w:rFonts w:ascii="Times New Roman" w:eastAsia="Times New Roman" w:hAnsi="Times New Roman" w:cs="Times New Roman"/>
          <w:sz w:val="24"/>
          <w:szCs w:val="24"/>
        </w:rPr>
      </w:pPr>
    </w:p>
    <w:p w:rsidR="00824C5D" w:rsidRPr="00613663" w:rsidRDefault="00824C5D" w:rsidP="00824C5D">
      <w:pPr>
        <w:ind w:right="-1"/>
        <w:rPr>
          <w:rFonts w:ascii="Times New Roman" w:eastAsia="Times New Roman" w:hAnsi="Times New Roman" w:cs="Times New Roman"/>
          <w:sz w:val="24"/>
          <w:szCs w:val="24"/>
          <w:lang w:val="en-US"/>
        </w:rPr>
      </w:pPr>
      <w:r w:rsidRPr="00406A7A">
        <w:rPr>
          <w:rFonts w:ascii="Times New Roman" w:eastAsia="Times New Roman" w:hAnsi="Times New Roman" w:cs="Times New Roman"/>
          <w:sz w:val="24"/>
          <w:szCs w:val="24"/>
        </w:rPr>
        <w:t>TEIXEIRA, J.; PINHEIRO, D.; VILASBOAS, A. Socioeconomics and Environmental Performance: A Composite Index and Compara</w:t>
      </w:r>
      <w:r w:rsidRPr="006A7E81">
        <w:rPr>
          <w:rFonts w:ascii="Times New Roman" w:eastAsia="Times New Roman" w:hAnsi="Times New Roman" w:cs="Times New Roman"/>
          <w:sz w:val="24"/>
          <w:szCs w:val="24"/>
          <w:lang w:val="en-US"/>
        </w:rPr>
        <w:t xml:space="preserve">tive Application to USA and China. </w:t>
      </w:r>
      <w:r w:rsidRPr="00613663">
        <w:rPr>
          <w:rFonts w:ascii="Times New Roman" w:eastAsia="Times New Roman" w:hAnsi="Times New Roman" w:cs="Times New Roman"/>
          <w:b/>
          <w:sz w:val="24"/>
          <w:szCs w:val="24"/>
          <w:lang w:val="en-US"/>
        </w:rPr>
        <w:t>CADMUS</w:t>
      </w:r>
      <w:r w:rsidRPr="00613663">
        <w:rPr>
          <w:rFonts w:ascii="Times New Roman" w:eastAsia="Times New Roman" w:hAnsi="Times New Roman" w:cs="Times New Roman"/>
          <w:sz w:val="24"/>
          <w:szCs w:val="24"/>
          <w:lang w:val="en-US"/>
        </w:rPr>
        <w:t>, v.2, n. 5, 2015.</w:t>
      </w:r>
    </w:p>
    <w:p w:rsidR="00824C5D" w:rsidRPr="00613663" w:rsidRDefault="00824C5D" w:rsidP="00824C5D">
      <w:pPr>
        <w:ind w:right="-1"/>
        <w:rPr>
          <w:rFonts w:ascii="Times New Roman" w:eastAsia="Times New Roman" w:hAnsi="Times New Roman" w:cs="Times New Roman"/>
          <w:sz w:val="24"/>
          <w:szCs w:val="24"/>
          <w:lang w:val="en-US"/>
        </w:rPr>
      </w:pPr>
    </w:p>
    <w:p w:rsidR="00824C5D" w:rsidRPr="00613663" w:rsidRDefault="00824C5D" w:rsidP="00824C5D">
      <w:pPr>
        <w:ind w:right="-1"/>
        <w:rPr>
          <w:rFonts w:ascii="Times New Roman" w:eastAsia="Times New Roman" w:hAnsi="Times New Roman" w:cs="Times New Roman"/>
          <w:sz w:val="24"/>
          <w:szCs w:val="24"/>
        </w:rPr>
      </w:pPr>
      <w:r w:rsidRPr="00F415CA">
        <w:rPr>
          <w:rFonts w:ascii="Times New Roman" w:eastAsia="Times New Roman" w:hAnsi="Times New Roman" w:cs="Times New Roman"/>
          <w:sz w:val="24"/>
          <w:szCs w:val="24"/>
          <w:lang w:val="en-US"/>
        </w:rPr>
        <w:t xml:space="preserve">SUZUKI, D.; MAXTON, G.; RANDERS, J. </w:t>
      </w:r>
      <w:r>
        <w:rPr>
          <w:rFonts w:ascii="Times New Roman" w:eastAsia="Times New Roman" w:hAnsi="Times New Roman" w:cs="Times New Roman"/>
          <w:sz w:val="24"/>
          <w:szCs w:val="24"/>
          <w:lang w:val="en-US"/>
        </w:rPr>
        <w:t xml:space="preserve">Reinventing Prosperity: A report to the Club of Rome. </w:t>
      </w:r>
      <w:r w:rsidRPr="00613663">
        <w:rPr>
          <w:rFonts w:ascii="Times New Roman" w:eastAsia="Times New Roman" w:hAnsi="Times New Roman" w:cs="Times New Roman"/>
          <w:sz w:val="24"/>
          <w:szCs w:val="24"/>
        </w:rPr>
        <w:t>David Suzuki Institute, 2016.</w:t>
      </w:r>
    </w:p>
    <w:p w:rsidR="00824C5D" w:rsidRPr="00613663" w:rsidRDefault="00824C5D" w:rsidP="00824C5D">
      <w:pPr>
        <w:ind w:right="-1"/>
        <w:rPr>
          <w:rFonts w:ascii="Times New Roman" w:eastAsia="Times New Roman" w:hAnsi="Times New Roman" w:cs="Times New Roman"/>
          <w:sz w:val="24"/>
          <w:szCs w:val="24"/>
        </w:rPr>
      </w:pPr>
    </w:p>
    <w:p w:rsidR="00824C5D" w:rsidRDefault="00824C5D" w:rsidP="00824C5D">
      <w:pPr>
        <w:ind w:right="-1"/>
        <w:rPr>
          <w:rFonts w:ascii="Times New Roman" w:eastAsia="Times New Roman" w:hAnsi="Times New Roman" w:cs="Times New Roman"/>
          <w:sz w:val="24"/>
          <w:szCs w:val="24"/>
        </w:rPr>
      </w:pPr>
      <w:r w:rsidRPr="006A7E81">
        <w:rPr>
          <w:rFonts w:ascii="Times New Roman" w:eastAsia="Times New Roman" w:hAnsi="Times New Roman" w:cs="Times New Roman"/>
          <w:sz w:val="24"/>
          <w:szCs w:val="24"/>
        </w:rPr>
        <w:t xml:space="preserve">VAN BELLEN, H.M. Indicadores de sustentabilidade: Uma análise comparativa. </w:t>
      </w:r>
      <w:r w:rsidRPr="006A7E81">
        <w:rPr>
          <w:rFonts w:ascii="Times New Roman" w:eastAsia="Times New Roman" w:hAnsi="Times New Roman" w:cs="Times New Roman"/>
          <w:b/>
          <w:sz w:val="24"/>
          <w:szCs w:val="24"/>
        </w:rPr>
        <w:t>FGV</w:t>
      </w:r>
      <w:r w:rsidRPr="006A7E81">
        <w:rPr>
          <w:rFonts w:ascii="Times New Roman" w:eastAsia="Times New Roman" w:hAnsi="Times New Roman" w:cs="Times New Roman"/>
          <w:sz w:val="24"/>
          <w:szCs w:val="24"/>
        </w:rPr>
        <w:t xml:space="preserve">, v.2,  2006. </w:t>
      </w:r>
    </w:p>
    <w:p w:rsidR="00824C5D" w:rsidRPr="002024A2" w:rsidRDefault="00824C5D" w:rsidP="00824C5D">
      <w:pPr>
        <w:ind w:right="-1"/>
        <w:rPr>
          <w:rFonts w:ascii="Times New Roman" w:eastAsia="Times New Roman" w:hAnsi="Times New Roman" w:cs="Times New Roman"/>
          <w:sz w:val="24"/>
          <w:szCs w:val="24"/>
        </w:rPr>
      </w:pPr>
    </w:p>
    <w:p w:rsidR="00824C5D" w:rsidRPr="006A7E81" w:rsidRDefault="00824C5D" w:rsidP="00824C5D">
      <w:pPr>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VEIGA, J.E. A desgovernança mundial da sustentabilidade. São Paulo: Editora 34, 2013. </w:t>
      </w:r>
    </w:p>
    <w:p w:rsidR="00824C5D" w:rsidRPr="006A7E81" w:rsidRDefault="00824C5D" w:rsidP="00824C5D">
      <w:pPr>
        <w:ind w:right="-1"/>
        <w:rPr>
          <w:rFonts w:ascii="Times New Roman" w:eastAsia="Times New Roman" w:hAnsi="Times New Roman" w:cs="Times New Roman"/>
          <w:sz w:val="24"/>
          <w:szCs w:val="24"/>
        </w:rPr>
      </w:pPr>
    </w:p>
    <w:p w:rsidR="00824C5D" w:rsidRPr="00402D9B"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rPr>
        <w:t xml:space="preserve">VEIGA, J.E. Indicadores socioambientais: evolução e perspectivas. </w:t>
      </w:r>
      <w:r w:rsidRPr="006A7E81">
        <w:rPr>
          <w:rFonts w:ascii="Times New Roman" w:eastAsia="Times New Roman" w:hAnsi="Times New Roman" w:cs="Times New Roman"/>
          <w:b/>
          <w:sz w:val="24"/>
          <w:szCs w:val="24"/>
        </w:rPr>
        <w:t>Revista de Economia Política</w:t>
      </w:r>
      <w:r w:rsidRPr="006A7E81">
        <w:rPr>
          <w:rFonts w:ascii="Times New Roman" w:eastAsia="Times New Roman" w:hAnsi="Times New Roman" w:cs="Times New Roman"/>
          <w:sz w:val="24"/>
          <w:szCs w:val="24"/>
        </w:rPr>
        <w:t>, v.29, n.4(116), p. 421-35, 2009.</w:t>
      </w:r>
      <w:r w:rsidRPr="004F1E64">
        <w:rPr>
          <w:rFonts w:ascii="Times New Roman" w:eastAsia="Times New Roman" w:hAnsi="Times New Roman" w:cs="Times New Roman"/>
          <w:sz w:val="24"/>
          <w:szCs w:val="24"/>
        </w:rPr>
        <w:t xml:space="preserve"> VIOLA, F.; FRANCHINI, M. Brazilianclimatepolitics 2005-2012: Ambivalence</w:t>
      </w:r>
      <w:r w:rsidR="00FE6E30">
        <w:rPr>
          <w:rFonts w:ascii="Times New Roman" w:eastAsia="Times New Roman" w:hAnsi="Times New Roman" w:cs="Times New Roman"/>
          <w:sz w:val="24"/>
          <w:szCs w:val="24"/>
        </w:rPr>
        <w:t xml:space="preserve"> </w:t>
      </w:r>
      <w:r w:rsidRPr="004F1E64">
        <w:rPr>
          <w:rFonts w:ascii="Times New Roman" w:eastAsia="Times New Roman" w:hAnsi="Times New Roman" w:cs="Times New Roman"/>
          <w:sz w:val="24"/>
          <w:szCs w:val="24"/>
        </w:rPr>
        <w:t>and</w:t>
      </w:r>
      <w:r w:rsidR="00FE6E30">
        <w:rPr>
          <w:rFonts w:ascii="Times New Roman" w:eastAsia="Times New Roman" w:hAnsi="Times New Roman" w:cs="Times New Roman"/>
          <w:sz w:val="24"/>
          <w:szCs w:val="24"/>
        </w:rPr>
        <w:t xml:space="preserve"> </w:t>
      </w:r>
      <w:r w:rsidRPr="004F1E64">
        <w:rPr>
          <w:rFonts w:ascii="Times New Roman" w:eastAsia="Times New Roman" w:hAnsi="Times New Roman" w:cs="Times New Roman"/>
          <w:sz w:val="24"/>
          <w:szCs w:val="24"/>
        </w:rPr>
        <w:t xml:space="preserve">paradox. </w:t>
      </w:r>
      <w:r w:rsidRPr="00402D9B">
        <w:rPr>
          <w:rFonts w:ascii="Times New Roman" w:eastAsia="Times New Roman" w:hAnsi="Times New Roman" w:cs="Times New Roman"/>
          <w:b/>
          <w:sz w:val="24"/>
          <w:szCs w:val="24"/>
          <w:lang w:val="en-US"/>
        </w:rPr>
        <w:t>WIREsClimChange</w:t>
      </w:r>
      <w:r w:rsidRPr="00402D9B">
        <w:rPr>
          <w:rFonts w:ascii="Times New Roman" w:eastAsia="Times New Roman" w:hAnsi="Times New Roman" w:cs="Times New Roman"/>
          <w:sz w:val="24"/>
          <w:szCs w:val="24"/>
          <w:lang w:val="en-US"/>
        </w:rPr>
        <w:t xml:space="preserve">, v. 5, p. 677-688, 2014. </w:t>
      </w:r>
    </w:p>
    <w:p w:rsidR="00824C5D" w:rsidRPr="00402D9B" w:rsidRDefault="00824C5D" w:rsidP="00824C5D">
      <w:pPr>
        <w:ind w:right="-1"/>
        <w:rPr>
          <w:rFonts w:ascii="Times New Roman" w:eastAsia="Times New Roman" w:hAnsi="Times New Roman" w:cs="Times New Roman"/>
          <w:sz w:val="24"/>
          <w:szCs w:val="24"/>
          <w:lang w:val="en-US"/>
        </w:rPr>
      </w:pPr>
    </w:p>
    <w:p w:rsidR="00824C5D" w:rsidRDefault="00824C5D" w:rsidP="00824C5D">
      <w:pPr>
        <w:ind w:right="-1"/>
        <w:rPr>
          <w:rFonts w:ascii="Times New Roman" w:eastAsia="Times New Roman" w:hAnsi="Times New Roman" w:cs="Times New Roman"/>
          <w:sz w:val="24"/>
          <w:szCs w:val="24"/>
          <w:lang w:val="en-US"/>
        </w:rPr>
      </w:pPr>
      <w:r w:rsidRPr="00EB1154">
        <w:rPr>
          <w:rFonts w:ascii="Times New Roman" w:eastAsia="Times New Roman" w:hAnsi="Times New Roman" w:cs="Times New Roman"/>
          <w:sz w:val="24"/>
          <w:szCs w:val="24"/>
          <w:lang w:val="en-US"/>
        </w:rPr>
        <w:t>WACKERNAGEL, M.; REES, W. Our ecological footprint, reducing human impact</w:t>
      </w:r>
      <w:r w:rsidR="00FE6E30">
        <w:rPr>
          <w:rFonts w:ascii="Times New Roman" w:eastAsia="Times New Roman" w:hAnsi="Times New Roman" w:cs="Times New Roman"/>
          <w:sz w:val="24"/>
          <w:szCs w:val="24"/>
          <w:lang w:val="en-US"/>
        </w:rPr>
        <w:t xml:space="preserve"> </w:t>
      </w:r>
      <w:r w:rsidRPr="00EB1154">
        <w:rPr>
          <w:rFonts w:ascii="Times New Roman" w:eastAsia="Times New Roman" w:hAnsi="Times New Roman" w:cs="Times New Roman"/>
          <w:sz w:val="24"/>
          <w:szCs w:val="24"/>
          <w:lang w:val="en-US"/>
        </w:rPr>
        <w:t>on the Earth</w:t>
      </w:r>
      <w:r w:rsidRPr="00EB1154">
        <w:rPr>
          <w:rFonts w:ascii="Times New Roman" w:eastAsia="Times New Roman" w:hAnsi="Times New Roman" w:cs="Times New Roman"/>
          <w:b/>
          <w:sz w:val="24"/>
          <w:szCs w:val="24"/>
          <w:lang w:val="en-US"/>
        </w:rPr>
        <w:t xml:space="preserve">. </w:t>
      </w:r>
      <w:r w:rsidRPr="006A7E81">
        <w:rPr>
          <w:rFonts w:ascii="Times New Roman" w:eastAsia="Times New Roman" w:hAnsi="Times New Roman" w:cs="Times New Roman"/>
          <w:b/>
          <w:sz w:val="24"/>
          <w:szCs w:val="24"/>
          <w:lang w:val="en-US"/>
        </w:rPr>
        <w:t xml:space="preserve">BC: New Society Publishers, </w:t>
      </w:r>
      <w:r w:rsidRPr="006A7E81">
        <w:rPr>
          <w:rFonts w:ascii="Times New Roman" w:eastAsia="Times New Roman" w:hAnsi="Times New Roman" w:cs="Times New Roman"/>
          <w:sz w:val="24"/>
          <w:szCs w:val="24"/>
          <w:lang w:val="en-US"/>
        </w:rPr>
        <w:t>1995.</w:t>
      </w:r>
    </w:p>
    <w:p w:rsidR="00824C5D" w:rsidRDefault="00824C5D" w:rsidP="00824C5D">
      <w:pPr>
        <w:ind w:right="-1"/>
        <w:rPr>
          <w:rFonts w:ascii="Times New Roman" w:eastAsia="Times New Roman" w:hAnsi="Times New Roman" w:cs="Times New Roman"/>
          <w:sz w:val="24"/>
          <w:szCs w:val="24"/>
          <w:lang w:val="en-US"/>
        </w:rPr>
      </w:pPr>
    </w:p>
    <w:p w:rsidR="00824C5D" w:rsidRPr="004F1E64" w:rsidRDefault="00824C5D" w:rsidP="00824C5D">
      <w:pPr>
        <w:ind w:right="-1"/>
        <w:rPr>
          <w:rFonts w:ascii="Times New Roman" w:eastAsia="Times New Roman" w:hAnsi="Times New Roman" w:cs="Times New Roman"/>
          <w:sz w:val="24"/>
          <w:szCs w:val="24"/>
          <w:lang w:val="en-US"/>
        </w:rPr>
      </w:pPr>
      <w:r w:rsidRPr="0001453B">
        <w:rPr>
          <w:rFonts w:ascii="Times New Roman" w:eastAsia="Times New Roman" w:hAnsi="Times New Roman" w:cs="Times New Roman"/>
          <w:sz w:val="24"/>
          <w:szCs w:val="24"/>
          <w:lang w:val="en-US"/>
        </w:rPr>
        <w:t>WORLD BANK. Inclusive green growth: The pathway to sustainable development. Maio, 2012. Disponívelem: &lt;siteresources.worldbank.org/EXTSDNET/Resources/Inclusive_Green_Growth_May_2012.pdf&gt;. Acessoem: agosto de 2016.</w:t>
      </w:r>
    </w:p>
    <w:p w:rsidR="00824C5D" w:rsidRPr="006A7E81" w:rsidRDefault="00824C5D" w:rsidP="00824C5D">
      <w:pPr>
        <w:ind w:right="-1"/>
        <w:rPr>
          <w:rFonts w:ascii="Times New Roman" w:eastAsia="Times New Roman" w:hAnsi="Times New Roman" w:cs="Times New Roman"/>
          <w:sz w:val="24"/>
          <w:szCs w:val="24"/>
          <w:lang w:val="en-US"/>
        </w:rPr>
      </w:pPr>
    </w:p>
    <w:p w:rsidR="00824C5D" w:rsidRPr="006A7E81"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WORLD BANK. Where is the wealth of nations? Measuring capital in the 21</w:t>
      </w:r>
      <w:r w:rsidRPr="006A7E81">
        <w:rPr>
          <w:rFonts w:ascii="Times New Roman" w:eastAsia="Times New Roman" w:hAnsi="Times New Roman" w:cs="Times New Roman"/>
          <w:sz w:val="24"/>
          <w:szCs w:val="24"/>
          <w:vertAlign w:val="superscript"/>
          <w:lang w:val="en-US"/>
        </w:rPr>
        <w:t xml:space="preserve">st </w:t>
      </w:r>
      <w:r w:rsidRPr="006A7E81">
        <w:rPr>
          <w:rFonts w:ascii="Times New Roman" w:eastAsia="Times New Roman" w:hAnsi="Times New Roman" w:cs="Times New Roman"/>
          <w:sz w:val="24"/>
          <w:szCs w:val="24"/>
          <w:lang w:val="en-US"/>
        </w:rPr>
        <w:t xml:space="preserve"> Century. </w:t>
      </w:r>
      <w:r w:rsidRPr="006A7E81">
        <w:rPr>
          <w:rFonts w:ascii="Times New Roman" w:eastAsia="Times New Roman" w:hAnsi="Times New Roman" w:cs="Times New Roman"/>
          <w:b/>
          <w:sz w:val="24"/>
          <w:szCs w:val="24"/>
          <w:lang w:val="en-US"/>
        </w:rPr>
        <w:t>The World Bank</w:t>
      </w:r>
      <w:r w:rsidRPr="006A7E81">
        <w:rPr>
          <w:rFonts w:ascii="Times New Roman" w:eastAsia="Times New Roman" w:hAnsi="Times New Roman" w:cs="Times New Roman"/>
          <w:sz w:val="24"/>
          <w:szCs w:val="24"/>
          <w:lang w:val="en-US"/>
        </w:rPr>
        <w:t>, 2006.</w:t>
      </w:r>
    </w:p>
    <w:p w:rsidR="00824C5D" w:rsidRPr="006A7E81" w:rsidRDefault="00824C5D" w:rsidP="00824C5D">
      <w:pPr>
        <w:spacing w:line="360" w:lineRule="auto"/>
        <w:ind w:right="-1"/>
        <w:jc w:val="both"/>
        <w:rPr>
          <w:rFonts w:ascii="Times New Roman" w:eastAsia="Times New Roman" w:hAnsi="Times New Roman" w:cs="Times New Roman"/>
          <w:sz w:val="24"/>
          <w:szCs w:val="24"/>
          <w:lang w:val="en-US"/>
        </w:rPr>
      </w:pPr>
    </w:p>
    <w:p w:rsidR="00824C5D" w:rsidRPr="006A7E81" w:rsidRDefault="00824C5D" w:rsidP="00824C5D">
      <w:pPr>
        <w:ind w:right="-1"/>
        <w:rPr>
          <w:rFonts w:ascii="Times New Roman" w:eastAsia="Times New Roman" w:hAnsi="Times New Roman" w:cs="Times New Roman"/>
          <w:sz w:val="24"/>
          <w:szCs w:val="24"/>
          <w:lang w:val="en-US"/>
        </w:rPr>
      </w:pPr>
      <w:r w:rsidRPr="006A7E81">
        <w:rPr>
          <w:rFonts w:ascii="Times New Roman" w:eastAsia="Times New Roman" w:hAnsi="Times New Roman" w:cs="Times New Roman"/>
          <w:sz w:val="24"/>
          <w:szCs w:val="24"/>
          <w:lang w:val="en-US"/>
        </w:rPr>
        <w:t xml:space="preserve">STIGLITZ, J.E.; SEN, A.K.; FITOUSSI, J.P. </w:t>
      </w:r>
      <w:r w:rsidRPr="006A7E81">
        <w:rPr>
          <w:rFonts w:ascii="Times New Roman" w:eastAsia="Times New Roman" w:hAnsi="Times New Roman" w:cs="Times New Roman"/>
          <w:b/>
          <w:sz w:val="24"/>
          <w:szCs w:val="24"/>
          <w:lang w:val="en-US"/>
        </w:rPr>
        <w:t xml:space="preserve">Reported by the Commission on the Measurement of Economic Performance and Social Progress. </w:t>
      </w:r>
      <w:r w:rsidRPr="006A7E81">
        <w:rPr>
          <w:rFonts w:ascii="Times New Roman" w:eastAsia="Times New Roman" w:hAnsi="Times New Roman" w:cs="Times New Roman"/>
          <w:sz w:val="24"/>
          <w:szCs w:val="24"/>
          <w:lang w:val="en-US"/>
        </w:rPr>
        <w:t>Paris, 2009.</w:t>
      </w:r>
    </w:p>
    <w:p w:rsidR="00824C5D" w:rsidRDefault="00824C5D" w:rsidP="00824C5D">
      <w:pPr>
        <w:spacing w:line="360" w:lineRule="auto"/>
        <w:ind w:right="-1"/>
        <w:jc w:val="both"/>
        <w:rPr>
          <w:rFonts w:ascii="Times New Roman" w:hAnsi="Times New Roman" w:cs="Times New Roman"/>
          <w:sz w:val="24"/>
          <w:szCs w:val="24"/>
        </w:rPr>
      </w:pPr>
    </w:p>
    <w:p w:rsidR="00824C5D" w:rsidRDefault="00824C5D" w:rsidP="00824C5D">
      <w:pPr>
        <w:ind w:right="-1"/>
        <w:rPr>
          <w:rFonts w:ascii="Times New Roman" w:eastAsia="Times New Roman" w:hAnsi="Times New Roman" w:cs="Times New Roman"/>
          <w:sz w:val="24"/>
          <w:szCs w:val="24"/>
        </w:rPr>
      </w:pPr>
    </w:p>
    <w:p w:rsidR="00824C5D" w:rsidRDefault="00824C5D" w:rsidP="00824C5D">
      <w:pPr>
        <w:ind w:right="-1"/>
        <w:rPr>
          <w:rFonts w:ascii="Times New Roman" w:eastAsia="Times New Roman" w:hAnsi="Times New Roman" w:cs="Times New Roman"/>
          <w:sz w:val="24"/>
          <w:szCs w:val="24"/>
        </w:rPr>
      </w:pPr>
    </w:p>
    <w:p w:rsidR="00824C5D" w:rsidRPr="0087104F" w:rsidRDefault="00824C5D" w:rsidP="00824C5D">
      <w:pPr>
        <w:spacing w:line="360" w:lineRule="auto"/>
        <w:ind w:right="-1"/>
        <w:jc w:val="both"/>
        <w:rPr>
          <w:rFonts w:ascii="Times New Roman" w:eastAsia="Times New Roman" w:hAnsi="Times New Roman" w:cs="Times New Roman"/>
          <w:b/>
          <w:sz w:val="24"/>
          <w:szCs w:val="24"/>
          <w:lang w:val="en-US"/>
        </w:rPr>
      </w:pPr>
      <w:r w:rsidRPr="0087104F">
        <w:rPr>
          <w:rFonts w:ascii="Times New Roman" w:eastAsia="Times New Roman" w:hAnsi="Times New Roman" w:cs="Times New Roman"/>
          <w:b/>
          <w:vanish/>
          <w:sz w:val="24"/>
          <w:szCs w:val="24"/>
          <w:lang w:val="en-US"/>
        </w:rPr>
        <w:t>Parte inferior do formulário</w:t>
      </w:r>
    </w:p>
    <w:p w:rsidR="00824C5D" w:rsidRPr="00CD2A2C" w:rsidRDefault="00824C5D" w:rsidP="00824C5D">
      <w:pPr>
        <w:spacing w:line="360" w:lineRule="auto"/>
        <w:ind w:right="-1" w:firstLine="851"/>
        <w:jc w:val="both"/>
        <w:rPr>
          <w:rFonts w:ascii="Times New Roman" w:eastAsia="Times New Roman" w:hAnsi="Times New Roman" w:cs="Times New Roman"/>
          <w:sz w:val="24"/>
          <w:szCs w:val="24"/>
          <w:lang w:val="en-US"/>
        </w:rPr>
      </w:pPr>
    </w:p>
    <w:p w:rsidR="00824C5D" w:rsidRPr="00CD2A2C" w:rsidRDefault="00824C5D" w:rsidP="00824C5D">
      <w:pPr>
        <w:ind w:right="-1"/>
        <w:rPr>
          <w:rFonts w:ascii="Times New Roman" w:eastAsia="Times New Roman" w:hAnsi="Times New Roman" w:cs="Times New Roman"/>
          <w:vanish/>
          <w:sz w:val="24"/>
          <w:szCs w:val="24"/>
          <w:lang w:val="en-US"/>
        </w:rPr>
      </w:pPr>
      <w:r w:rsidRPr="00CD2A2C">
        <w:rPr>
          <w:rFonts w:ascii="Times New Roman" w:eastAsia="Times New Roman" w:hAnsi="Times New Roman" w:cs="Times New Roman"/>
          <w:vanish/>
          <w:sz w:val="24"/>
          <w:szCs w:val="24"/>
          <w:lang w:val="en-US"/>
        </w:rPr>
        <w:t>Parte inferior do formulário</w:t>
      </w:r>
    </w:p>
    <w:p w:rsidR="00824C5D" w:rsidRPr="001B570A" w:rsidRDefault="00824C5D" w:rsidP="00824C5D">
      <w:pPr>
        <w:ind w:right="-1"/>
        <w:rPr>
          <w:rFonts w:ascii="Times New Roman" w:eastAsia="Times New Roman" w:hAnsi="Times New Roman" w:cs="Times New Roman"/>
          <w:vanish/>
          <w:sz w:val="24"/>
          <w:szCs w:val="24"/>
          <w:lang w:val="en-US"/>
        </w:rPr>
      </w:pPr>
      <w:r w:rsidRPr="001B570A">
        <w:rPr>
          <w:rFonts w:ascii="Times New Roman" w:eastAsia="Times New Roman" w:hAnsi="Times New Roman" w:cs="Times New Roman"/>
          <w:vanish/>
          <w:sz w:val="24"/>
          <w:szCs w:val="24"/>
          <w:lang w:val="en-US"/>
        </w:rPr>
        <w:t>Parte inferior do formulário</w:t>
      </w:r>
    </w:p>
    <w:p w:rsidR="00824C5D" w:rsidRPr="00E2474A" w:rsidRDefault="00824C5D" w:rsidP="00824C5D">
      <w:pPr>
        <w:ind w:right="-1"/>
        <w:rPr>
          <w:rFonts w:ascii="Times New Roman" w:eastAsia="Times New Roman" w:hAnsi="Times New Roman" w:cs="Times New Roman"/>
          <w:vanish/>
          <w:sz w:val="24"/>
          <w:szCs w:val="24"/>
          <w:lang w:val="en-US"/>
        </w:rPr>
      </w:pPr>
      <w:r w:rsidRPr="00E2474A">
        <w:rPr>
          <w:rFonts w:ascii="Times New Roman" w:eastAsia="Times New Roman" w:hAnsi="Times New Roman" w:cs="Times New Roman"/>
          <w:vanish/>
          <w:sz w:val="24"/>
          <w:szCs w:val="24"/>
          <w:lang w:val="en-US"/>
        </w:rPr>
        <w:t>Parte inferior do formulário</w:t>
      </w:r>
    </w:p>
    <w:p w:rsidR="00824C5D" w:rsidRPr="00E2474A" w:rsidRDefault="00824C5D" w:rsidP="00824C5D">
      <w:pPr>
        <w:ind w:right="-1"/>
        <w:rPr>
          <w:rFonts w:ascii="Times New Roman" w:eastAsia="Times New Roman" w:hAnsi="Times New Roman" w:cs="Times New Roman"/>
          <w:sz w:val="24"/>
          <w:szCs w:val="24"/>
          <w:lang w:val="en-US"/>
        </w:rPr>
      </w:pPr>
      <w:r w:rsidRPr="00E2474A">
        <w:rPr>
          <w:rFonts w:ascii="Times New Roman" w:eastAsia="Times New Roman" w:hAnsi="Times New Roman" w:cs="Times New Roman"/>
          <w:vanish/>
          <w:sz w:val="24"/>
          <w:szCs w:val="24"/>
          <w:lang w:val="en-US"/>
        </w:rPr>
        <w:t>Parte inferior do formulário</w:t>
      </w:r>
    </w:p>
    <w:p w:rsidR="00824C5D" w:rsidRPr="004F2436" w:rsidRDefault="00824C5D" w:rsidP="00824C5D">
      <w:pPr>
        <w:ind w:right="-1"/>
        <w:rPr>
          <w:rFonts w:ascii="Times New Roman" w:eastAsia="Times New Roman" w:hAnsi="Times New Roman" w:cs="Times New Roman"/>
          <w:sz w:val="24"/>
          <w:szCs w:val="24"/>
          <w:lang w:val="en-US"/>
        </w:rPr>
      </w:pPr>
    </w:p>
    <w:p w:rsidR="00824C5D" w:rsidRPr="004F2436" w:rsidRDefault="00824C5D" w:rsidP="00824C5D">
      <w:pPr>
        <w:spacing w:after="160" w:line="259" w:lineRule="auto"/>
        <w:ind w:right="-1"/>
        <w:rPr>
          <w:rFonts w:ascii="Times New Roman" w:hAnsi="Times New Roman" w:cs="Times New Roman"/>
          <w:vanish/>
          <w:sz w:val="24"/>
          <w:szCs w:val="24"/>
          <w:lang w:val="en-US"/>
        </w:rPr>
      </w:pPr>
      <w:r w:rsidRPr="004F2436">
        <w:rPr>
          <w:rFonts w:ascii="Times New Roman" w:hAnsi="Times New Roman" w:cs="Times New Roman"/>
          <w:vanish/>
          <w:sz w:val="24"/>
          <w:szCs w:val="24"/>
          <w:lang w:val="en-US"/>
        </w:rPr>
        <w:t>Parte inferior do formulário</w:t>
      </w:r>
    </w:p>
    <w:p w:rsidR="00824C5D" w:rsidRPr="004F2436" w:rsidRDefault="00824C5D" w:rsidP="00824C5D">
      <w:pPr>
        <w:spacing w:after="160" w:line="259" w:lineRule="auto"/>
        <w:ind w:right="-1"/>
        <w:rPr>
          <w:rFonts w:ascii="Times New Roman" w:hAnsi="Times New Roman" w:cs="Times New Roman"/>
          <w:vanish/>
          <w:sz w:val="24"/>
          <w:szCs w:val="24"/>
          <w:lang w:val="en-US"/>
        </w:rPr>
      </w:pPr>
      <w:r w:rsidRPr="004F2436">
        <w:rPr>
          <w:rFonts w:ascii="Times New Roman" w:hAnsi="Times New Roman" w:cs="Times New Roman"/>
          <w:vanish/>
          <w:sz w:val="24"/>
          <w:szCs w:val="24"/>
          <w:lang w:val="en-US"/>
        </w:rPr>
        <w:t>Parte inferior do formulário</w:t>
      </w:r>
    </w:p>
    <w:p w:rsidR="00824C5D" w:rsidRPr="005C2D94" w:rsidRDefault="00824C5D" w:rsidP="00824C5D">
      <w:pPr>
        <w:spacing w:after="160" w:line="259" w:lineRule="auto"/>
        <w:ind w:right="-1"/>
        <w:rPr>
          <w:rFonts w:ascii="Times New Roman" w:hAnsi="Times New Roman" w:cs="Times New Roman"/>
          <w:vanish/>
          <w:sz w:val="24"/>
          <w:szCs w:val="24"/>
          <w:lang w:val="en-US"/>
        </w:rPr>
      </w:pPr>
      <w:r w:rsidRPr="005C2D94">
        <w:rPr>
          <w:rFonts w:ascii="Times New Roman" w:hAnsi="Times New Roman" w:cs="Times New Roman"/>
          <w:vanish/>
          <w:sz w:val="24"/>
          <w:szCs w:val="24"/>
          <w:lang w:val="en-US"/>
        </w:rPr>
        <w:t>Parte inferior do formulário</w:t>
      </w:r>
    </w:p>
    <w:p w:rsidR="00824C5D" w:rsidRPr="005C2D94" w:rsidRDefault="00824C5D" w:rsidP="00824C5D">
      <w:pPr>
        <w:spacing w:after="160" w:line="259" w:lineRule="auto"/>
        <w:ind w:right="-1"/>
        <w:rPr>
          <w:rFonts w:ascii="Times New Roman" w:hAnsi="Times New Roman" w:cs="Times New Roman"/>
          <w:sz w:val="24"/>
          <w:szCs w:val="24"/>
          <w:lang w:val="en-US"/>
        </w:rPr>
      </w:pPr>
    </w:p>
    <w:p w:rsidR="00824C5D" w:rsidRPr="005C2D94" w:rsidRDefault="00824C5D" w:rsidP="00824C5D">
      <w:pPr>
        <w:spacing w:after="160" w:line="259" w:lineRule="auto"/>
        <w:ind w:right="-1"/>
        <w:rPr>
          <w:rFonts w:ascii="Times New Roman" w:hAnsi="Times New Roman" w:cs="Times New Roman"/>
          <w:vanish/>
          <w:sz w:val="24"/>
          <w:szCs w:val="24"/>
          <w:lang w:val="en-US"/>
        </w:rPr>
      </w:pPr>
      <w:r w:rsidRPr="005C2D94">
        <w:rPr>
          <w:rFonts w:ascii="Times New Roman" w:hAnsi="Times New Roman" w:cs="Times New Roman"/>
          <w:vanish/>
          <w:sz w:val="24"/>
          <w:szCs w:val="24"/>
          <w:lang w:val="en-US"/>
        </w:rPr>
        <w:t>Parte inferior do formulário</w:t>
      </w:r>
    </w:p>
    <w:p w:rsidR="00824C5D" w:rsidRPr="005C2D94" w:rsidRDefault="00824C5D" w:rsidP="00824C5D">
      <w:pPr>
        <w:spacing w:after="160" w:line="259" w:lineRule="auto"/>
        <w:ind w:right="-1"/>
        <w:rPr>
          <w:rFonts w:ascii="Times New Roman" w:hAnsi="Times New Roman" w:cs="Times New Roman"/>
          <w:sz w:val="24"/>
          <w:szCs w:val="24"/>
          <w:lang w:val="en-US"/>
        </w:rPr>
      </w:pPr>
    </w:p>
    <w:p w:rsidR="00824C5D" w:rsidRPr="005C2D94" w:rsidRDefault="00824C5D" w:rsidP="00824C5D">
      <w:pPr>
        <w:spacing w:after="160" w:line="259" w:lineRule="auto"/>
        <w:ind w:right="-1"/>
        <w:rPr>
          <w:rFonts w:ascii="Times New Roman" w:hAnsi="Times New Roman" w:cs="Times New Roman"/>
          <w:vanish/>
          <w:sz w:val="24"/>
          <w:szCs w:val="24"/>
          <w:lang w:val="en-US"/>
        </w:rPr>
      </w:pPr>
      <w:r w:rsidRPr="005C2D94">
        <w:rPr>
          <w:rFonts w:ascii="Times New Roman" w:hAnsi="Times New Roman" w:cs="Times New Roman"/>
          <w:vanish/>
          <w:sz w:val="24"/>
          <w:szCs w:val="24"/>
          <w:lang w:val="en-US"/>
        </w:rPr>
        <w:t>Parte inferior do formulário</w:t>
      </w:r>
    </w:p>
    <w:p w:rsidR="00824C5D" w:rsidRPr="00F52B13" w:rsidRDefault="00824C5D" w:rsidP="00824C5D">
      <w:pPr>
        <w:spacing w:after="160" w:line="259" w:lineRule="auto"/>
        <w:ind w:right="-1"/>
        <w:rPr>
          <w:rFonts w:ascii="Times New Roman" w:hAnsi="Times New Roman" w:cs="Times New Roman"/>
          <w:vanish/>
          <w:sz w:val="24"/>
          <w:szCs w:val="24"/>
          <w:lang w:val="en-US"/>
        </w:rPr>
      </w:pPr>
      <w:r w:rsidRPr="00F52B13">
        <w:rPr>
          <w:rFonts w:ascii="Times New Roman" w:hAnsi="Times New Roman" w:cs="Times New Roman"/>
          <w:vanish/>
          <w:sz w:val="24"/>
          <w:szCs w:val="24"/>
          <w:lang w:val="en-US"/>
        </w:rPr>
        <w:t>Parte inferior do formulário</w:t>
      </w:r>
    </w:p>
    <w:p w:rsidR="00824C5D" w:rsidRPr="00F52B13" w:rsidRDefault="00824C5D" w:rsidP="00824C5D">
      <w:pPr>
        <w:spacing w:after="160" w:line="259" w:lineRule="auto"/>
        <w:ind w:right="-1"/>
        <w:rPr>
          <w:rFonts w:ascii="Times New Roman" w:hAnsi="Times New Roman" w:cs="Times New Roman"/>
          <w:sz w:val="24"/>
          <w:szCs w:val="24"/>
          <w:lang w:val="en-US"/>
        </w:rPr>
      </w:pPr>
    </w:p>
    <w:p w:rsidR="00824C5D" w:rsidRPr="00F52B13" w:rsidRDefault="00824C5D" w:rsidP="00824C5D">
      <w:pPr>
        <w:spacing w:after="160" w:line="259" w:lineRule="auto"/>
        <w:ind w:right="-1"/>
        <w:rPr>
          <w:rFonts w:ascii="Times New Roman" w:hAnsi="Times New Roman" w:cs="Times New Roman"/>
          <w:vanish/>
          <w:sz w:val="24"/>
          <w:szCs w:val="24"/>
          <w:lang w:val="en-US"/>
        </w:rPr>
      </w:pPr>
      <w:r w:rsidRPr="00F52B13">
        <w:rPr>
          <w:rFonts w:ascii="Times New Roman" w:hAnsi="Times New Roman" w:cs="Times New Roman"/>
          <w:vanish/>
          <w:sz w:val="24"/>
          <w:szCs w:val="24"/>
          <w:lang w:val="en-US"/>
        </w:rPr>
        <w:t>Parte inferior do formulário</w:t>
      </w:r>
    </w:p>
    <w:p w:rsidR="00824C5D" w:rsidRPr="00AF19D2" w:rsidRDefault="00824C5D" w:rsidP="00824C5D">
      <w:pPr>
        <w:spacing w:after="160" w:line="259"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after="160" w:line="259"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after="160" w:line="259" w:lineRule="auto"/>
        <w:ind w:right="-1"/>
        <w:rPr>
          <w:rFonts w:ascii="Times New Roman" w:hAnsi="Times New Roman" w:cs="Times New Roman"/>
          <w:sz w:val="24"/>
          <w:szCs w:val="24"/>
          <w:lang w:val="en-US"/>
        </w:rPr>
      </w:pPr>
    </w:p>
    <w:p w:rsidR="00824C5D" w:rsidRPr="00AF19D2" w:rsidRDefault="00824C5D" w:rsidP="00824C5D">
      <w:pPr>
        <w:spacing w:after="160" w:line="259"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line="360"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line="360" w:lineRule="auto"/>
        <w:ind w:right="-1"/>
        <w:rPr>
          <w:rFonts w:ascii="Times New Roman" w:hAnsi="Times New Roman" w:cs="Times New Roman"/>
          <w:sz w:val="24"/>
          <w:szCs w:val="24"/>
          <w:lang w:val="en-US"/>
        </w:rPr>
      </w:pPr>
    </w:p>
    <w:p w:rsidR="00824C5D" w:rsidRPr="00AF19D2" w:rsidRDefault="00824C5D" w:rsidP="00824C5D">
      <w:pPr>
        <w:spacing w:line="360"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line="360" w:lineRule="auto"/>
        <w:ind w:right="-1"/>
        <w:rPr>
          <w:rFonts w:ascii="Times New Roman" w:hAnsi="Times New Roman" w:cs="Times New Roman"/>
          <w:sz w:val="24"/>
          <w:szCs w:val="24"/>
          <w:lang w:val="en-US"/>
        </w:rPr>
      </w:pPr>
    </w:p>
    <w:p w:rsidR="00824C5D" w:rsidRPr="00AF19D2" w:rsidRDefault="00824C5D" w:rsidP="00824C5D">
      <w:pPr>
        <w:spacing w:line="360" w:lineRule="auto"/>
        <w:ind w:right="-1"/>
        <w:rPr>
          <w:rFonts w:ascii="Times New Roman" w:hAnsi="Times New Roman" w:cs="Times New Roman"/>
          <w:vanish/>
          <w:sz w:val="24"/>
          <w:szCs w:val="24"/>
          <w:lang w:val="en-US"/>
        </w:rPr>
      </w:pPr>
      <w:r w:rsidRPr="00AF19D2">
        <w:rPr>
          <w:rFonts w:ascii="Times New Roman" w:hAnsi="Times New Roman" w:cs="Times New Roman"/>
          <w:vanish/>
          <w:sz w:val="24"/>
          <w:szCs w:val="24"/>
          <w:lang w:val="en-US"/>
        </w:rPr>
        <w:t>Parte inferior do formulário</w:t>
      </w:r>
    </w:p>
    <w:p w:rsidR="00824C5D" w:rsidRPr="00AF19D2" w:rsidRDefault="00824C5D" w:rsidP="00824C5D">
      <w:pPr>
        <w:spacing w:line="360" w:lineRule="auto"/>
        <w:ind w:right="-1"/>
        <w:rPr>
          <w:rFonts w:ascii="Times New Roman" w:hAnsi="Times New Roman" w:cs="Times New Roman"/>
          <w:sz w:val="24"/>
          <w:szCs w:val="24"/>
          <w:lang w:val="en-US"/>
        </w:rPr>
      </w:pPr>
    </w:p>
    <w:p w:rsidR="00FC4B7C" w:rsidRPr="00824C5D" w:rsidRDefault="00FC4B7C" w:rsidP="00824C5D"/>
    <w:sectPr w:rsidR="00FC4B7C" w:rsidRPr="00824C5D" w:rsidSect="00FC4B7C">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6D" w:rsidRDefault="00D7356D" w:rsidP="00824C5D">
      <w:r>
        <w:separator/>
      </w:r>
    </w:p>
  </w:endnote>
  <w:endnote w:type="continuationSeparator" w:id="0">
    <w:p w:rsidR="00D7356D" w:rsidRDefault="00D7356D" w:rsidP="008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8175"/>
      <w:docPartObj>
        <w:docPartGallery w:val="Page Numbers (Bottom of Page)"/>
        <w:docPartUnique/>
      </w:docPartObj>
    </w:sdtPr>
    <w:sdtEndPr/>
    <w:sdtContent>
      <w:p w:rsidR="00582A1A" w:rsidRDefault="00D7356D">
        <w:pPr>
          <w:pStyle w:val="Rodap"/>
          <w:jc w:val="center"/>
        </w:pPr>
        <w:r>
          <w:fldChar w:fldCharType="begin"/>
        </w:r>
        <w:r>
          <w:instrText xml:space="preserve"> PAGE   \* MERGEFORMAT </w:instrText>
        </w:r>
        <w:r>
          <w:fldChar w:fldCharType="separate"/>
        </w:r>
        <w:r>
          <w:rPr>
            <w:noProof/>
          </w:rPr>
          <w:t>1</w:t>
        </w:r>
        <w:r>
          <w:rPr>
            <w:noProof/>
          </w:rPr>
          <w:fldChar w:fldCharType="end"/>
        </w:r>
      </w:p>
    </w:sdtContent>
  </w:sdt>
  <w:p w:rsidR="00582A1A" w:rsidRDefault="00582A1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6D" w:rsidRDefault="00D7356D" w:rsidP="00824C5D">
      <w:r>
        <w:separator/>
      </w:r>
    </w:p>
  </w:footnote>
  <w:footnote w:type="continuationSeparator" w:id="0">
    <w:p w:rsidR="00D7356D" w:rsidRDefault="00D7356D" w:rsidP="00824C5D">
      <w:r>
        <w:continuationSeparator/>
      </w:r>
    </w:p>
  </w:footnote>
  <w:footnote w:id="1">
    <w:p w:rsidR="00582A1A" w:rsidRPr="00443C02" w:rsidRDefault="00582A1A" w:rsidP="00824C5D">
      <w:pPr>
        <w:pStyle w:val="Textodenotaderodap"/>
        <w:rPr>
          <w:rFonts w:ascii="Times New Roman" w:hAnsi="Times New Roman" w:cs="Times New Roman"/>
          <w:lang w:val="en-US"/>
        </w:rPr>
      </w:pPr>
      <w:r w:rsidRPr="00443C02">
        <w:rPr>
          <w:rStyle w:val="Refdenotaderodap"/>
          <w:rFonts w:ascii="Times New Roman" w:hAnsi="Times New Roman" w:cs="Times New Roman"/>
        </w:rPr>
        <w:footnoteRef/>
      </w:r>
      <w:r w:rsidRPr="00443C02">
        <w:rPr>
          <w:rFonts w:ascii="Times New Roman" w:hAnsi="Times New Roman" w:cs="Times New Roman"/>
          <w:lang w:val="en-US"/>
        </w:rPr>
        <w:t xml:space="preserve"> The green economy has the primary goal of ensuring that the economy and environmental sustainability are compatible, so the use of the dashed line in Figure 1.</w:t>
      </w:r>
    </w:p>
  </w:footnote>
  <w:footnote w:id="2">
    <w:p w:rsidR="00582A1A" w:rsidRPr="00425AB5" w:rsidRDefault="00582A1A" w:rsidP="00824C5D">
      <w:pPr>
        <w:pStyle w:val="Textodenotaderodap"/>
        <w:rPr>
          <w:rFonts w:ascii="Times New Roman" w:hAnsi="Times New Roman" w:cs="Times New Roman"/>
          <w:lang w:val="en-US"/>
        </w:rPr>
      </w:pPr>
      <w:r w:rsidRPr="00425AB5">
        <w:rPr>
          <w:rStyle w:val="Refdenotaderodap"/>
          <w:rFonts w:ascii="Times New Roman" w:hAnsi="Times New Roman" w:cs="Times New Roman"/>
        </w:rPr>
        <w:footnoteRef/>
      </w:r>
      <w:r w:rsidRPr="00425AB5">
        <w:rPr>
          <w:rFonts w:ascii="Times New Roman" w:hAnsi="Times New Roman" w:cs="Times New Roman"/>
          <w:lang w:val="en-US"/>
        </w:rPr>
        <w:t xml:space="preserve"> It consists of the n-dimensional </w:t>
      </w:r>
      <w:r w:rsidR="00902BCA">
        <w:rPr>
          <w:rFonts w:ascii="Times New Roman" w:hAnsi="Times New Roman" w:cs="Times New Roman"/>
          <w:lang w:val="en-US"/>
        </w:rPr>
        <w:t>parallol</w:t>
      </w:r>
      <w:r w:rsidRPr="00425AB5">
        <w:rPr>
          <w:rFonts w:ascii="Times New Roman" w:hAnsi="Times New Roman" w:cs="Times New Roman"/>
          <w:lang w:val="en-US"/>
        </w:rPr>
        <w:t>tope with edges along the axes going from the origin to the value of the corresponding variable.</w:t>
      </w:r>
    </w:p>
  </w:footnote>
  <w:footnote w:id="3">
    <w:p w:rsidR="00582A1A" w:rsidRPr="00D333F0" w:rsidRDefault="00582A1A" w:rsidP="00824C5D">
      <w:pPr>
        <w:pStyle w:val="Textodenotaderodap"/>
        <w:jc w:val="both"/>
        <w:rPr>
          <w:lang w:val="en-US"/>
        </w:rPr>
      </w:pPr>
      <w:r w:rsidRPr="00FA7092">
        <w:rPr>
          <w:rStyle w:val="Refdenotaderodap"/>
          <w:rFonts w:ascii="Times New Roman" w:hAnsi="Times New Roman" w:cs="Times New Roman"/>
        </w:rPr>
        <w:footnoteRef/>
      </w:r>
      <w:r w:rsidRPr="00D333F0">
        <w:rPr>
          <w:rFonts w:ascii="Times New Roman" w:hAnsi="Times New Roman" w:cs="Times New Roman"/>
          <w:lang w:val="en-US"/>
        </w:rPr>
        <w:t xml:space="preserve"> The dead volume is a reservoir with 400 million cubic meters of water situated below the floodgates of the dams of the Cantareira System, for example.</w:t>
      </w:r>
      <w:r>
        <w:rPr>
          <w:rFonts w:ascii="Times New Roman" w:hAnsi="Times New Roman" w:cs="Times New Roman"/>
          <w:lang w:val="en-US"/>
        </w:rPr>
        <w:t xml:space="preserve"> </w:t>
      </w:r>
      <w:r w:rsidRPr="00D333F0">
        <w:rPr>
          <w:rFonts w:ascii="Times New Roman" w:hAnsi="Times New Roman" w:cs="Times New Roman"/>
          <w:lang w:val="en-US"/>
        </w:rPr>
        <w:t>Also known as the reservation technique, this water t</w:t>
      </w:r>
      <w:r>
        <w:rPr>
          <w:rFonts w:ascii="Times New Roman" w:hAnsi="Times New Roman" w:cs="Times New Roman"/>
          <w:lang w:val="en-US"/>
        </w:rPr>
        <w:t>ends not to be used to assist</w:t>
      </w:r>
      <w:r w:rsidRPr="00D333F0">
        <w:rPr>
          <w:rFonts w:ascii="Times New Roman" w:hAnsi="Times New Roman" w:cs="Times New Roman"/>
          <w:lang w:val="en-US"/>
        </w:rPr>
        <w:t xml:space="preserve"> the population.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24C5D"/>
    <w:rsid w:val="000F06F9"/>
    <w:rsid w:val="000F7C1D"/>
    <w:rsid w:val="00406A7A"/>
    <w:rsid w:val="00575380"/>
    <w:rsid w:val="00582A1A"/>
    <w:rsid w:val="00824C5D"/>
    <w:rsid w:val="00902BCA"/>
    <w:rsid w:val="009E7564"/>
    <w:rsid w:val="00A12167"/>
    <w:rsid w:val="00D7356D"/>
    <w:rsid w:val="00E7715D"/>
    <w:rsid w:val="00FA3EA9"/>
    <w:rsid w:val="00FC4B7C"/>
    <w:rsid w:val="00FE6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Conector de seta reta 2"/>
        <o:r id="V:Rule2" type="connector" idref="#Conector de seta reta 19"/>
        <o:r id="V:Rule3" type="connector" idref="#Conector de seta reta 8"/>
        <o:r id="V:Rule4" type="connector" idref="#Conector de seta reta 22"/>
        <o:r id="V:Rule5" type="connector" idref="#Conector de seta reta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5D"/>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24C5D"/>
    <w:rPr>
      <w:color w:val="0563C1"/>
      <w:u w:val="single"/>
    </w:rPr>
  </w:style>
  <w:style w:type="character" w:customStyle="1" w:styleId="Partesuperior-zdoformulrioChar">
    <w:name w:val="Parte superior-z do formulário Char"/>
    <w:basedOn w:val="Fontepargpadro"/>
    <w:link w:val="Partesuperior-zdoformulrio"/>
    <w:uiPriority w:val="99"/>
    <w:semiHidden/>
    <w:rsid w:val="00824C5D"/>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824C5D"/>
    <w:pPr>
      <w:pBdr>
        <w:bottom w:val="single" w:sz="6" w:space="1" w:color="auto"/>
      </w:pBdr>
      <w:jc w:val="center"/>
    </w:pPr>
    <w:rPr>
      <w:rFonts w:ascii="Arial" w:eastAsia="Times New Roman" w:hAnsi="Arial"/>
      <w:vanish/>
      <w:sz w:val="16"/>
      <w:szCs w:val="16"/>
    </w:rPr>
  </w:style>
  <w:style w:type="character" w:customStyle="1" w:styleId="TextodenotaderodapChar">
    <w:name w:val="Texto de nota de rodapé Char"/>
    <w:basedOn w:val="Fontepargpadro"/>
    <w:link w:val="Textodenotaderodap"/>
    <w:uiPriority w:val="99"/>
    <w:rsid w:val="00824C5D"/>
    <w:rPr>
      <w:rFonts w:ascii="Calibri" w:eastAsia="Calibri" w:hAnsi="Calibri" w:cs="Arial"/>
      <w:sz w:val="20"/>
      <w:szCs w:val="20"/>
      <w:lang w:eastAsia="pt-BR"/>
    </w:rPr>
  </w:style>
  <w:style w:type="paragraph" w:styleId="Textodenotaderodap">
    <w:name w:val="footnote text"/>
    <w:basedOn w:val="Normal"/>
    <w:link w:val="TextodenotaderodapChar"/>
    <w:uiPriority w:val="99"/>
    <w:unhideWhenUsed/>
    <w:rsid w:val="00824C5D"/>
  </w:style>
  <w:style w:type="character" w:customStyle="1" w:styleId="CabealhoChar">
    <w:name w:val="Cabeçalho Char"/>
    <w:basedOn w:val="Fontepargpadro"/>
    <w:link w:val="Cabealho"/>
    <w:uiPriority w:val="99"/>
    <w:rsid w:val="00824C5D"/>
    <w:rPr>
      <w:rFonts w:ascii="Calibri" w:eastAsia="Calibri" w:hAnsi="Calibri" w:cs="Arial"/>
      <w:sz w:val="20"/>
      <w:szCs w:val="20"/>
      <w:lang w:eastAsia="pt-BR"/>
    </w:rPr>
  </w:style>
  <w:style w:type="paragraph" w:styleId="Cabealho">
    <w:name w:val="header"/>
    <w:basedOn w:val="Normal"/>
    <w:link w:val="CabealhoChar"/>
    <w:uiPriority w:val="99"/>
    <w:unhideWhenUsed/>
    <w:rsid w:val="00824C5D"/>
    <w:pPr>
      <w:tabs>
        <w:tab w:val="center" w:pos="4252"/>
        <w:tab w:val="right" w:pos="8504"/>
      </w:tabs>
    </w:pPr>
  </w:style>
  <w:style w:type="character" w:customStyle="1" w:styleId="RodapChar">
    <w:name w:val="Rodapé Char"/>
    <w:basedOn w:val="Fontepargpadro"/>
    <w:link w:val="Rodap"/>
    <w:uiPriority w:val="99"/>
    <w:rsid w:val="00824C5D"/>
    <w:rPr>
      <w:rFonts w:ascii="Calibri" w:eastAsia="Calibri" w:hAnsi="Calibri" w:cs="Arial"/>
      <w:sz w:val="20"/>
      <w:szCs w:val="20"/>
      <w:lang w:eastAsia="pt-BR"/>
    </w:rPr>
  </w:style>
  <w:style w:type="paragraph" w:styleId="Rodap">
    <w:name w:val="footer"/>
    <w:basedOn w:val="Normal"/>
    <w:link w:val="RodapChar"/>
    <w:uiPriority w:val="99"/>
    <w:unhideWhenUsed/>
    <w:rsid w:val="00824C5D"/>
    <w:pPr>
      <w:tabs>
        <w:tab w:val="center" w:pos="4252"/>
        <w:tab w:val="right" w:pos="8504"/>
      </w:tabs>
    </w:pPr>
  </w:style>
  <w:style w:type="character" w:customStyle="1" w:styleId="TextodebaloChar">
    <w:name w:val="Texto de balão Char"/>
    <w:basedOn w:val="Fontepargpadro"/>
    <w:link w:val="Textodebalo"/>
    <w:uiPriority w:val="99"/>
    <w:semiHidden/>
    <w:rsid w:val="00824C5D"/>
    <w:rPr>
      <w:rFonts w:ascii="Segoe UI" w:eastAsia="Calibri" w:hAnsi="Segoe UI" w:cs="Segoe UI"/>
      <w:sz w:val="18"/>
      <w:szCs w:val="18"/>
      <w:lang w:eastAsia="pt-BR"/>
    </w:rPr>
  </w:style>
  <w:style w:type="paragraph" w:styleId="Textodebalo">
    <w:name w:val="Balloon Text"/>
    <w:basedOn w:val="Normal"/>
    <w:link w:val="TextodebaloChar"/>
    <w:uiPriority w:val="99"/>
    <w:semiHidden/>
    <w:unhideWhenUsed/>
    <w:rsid w:val="00824C5D"/>
    <w:rPr>
      <w:rFonts w:ascii="Segoe UI" w:hAnsi="Segoe UI" w:cs="Segoe UI"/>
      <w:sz w:val="18"/>
      <w:szCs w:val="18"/>
    </w:rPr>
  </w:style>
  <w:style w:type="character" w:customStyle="1" w:styleId="TextodecomentrioChar">
    <w:name w:val="Texto de comentário Char"/>
    <w:basedOn w:val="Fontepargpadro"/>
    <w:link w:val="Textodecomentrio"/>
    <w:uiPriority w:val="99"/>
    <w:semiHidden/>
    <w:rsid w:val="00824C5D"/>
    <w:rPr>
      <w:rFonts w:ascii="Calibri" w:eastAsia="Calibri" w:hAnsi="Calibri" w:cs="Arial"/>
      <w:sz w:val="24"/>
      <w:szCs w:val="24"/>
      <w:lang w:eastAsia="pt-BR"/>
    </w:rPr>
  </w:style>
  <w:style w:type="paragraph" w:styleId="Textodecomentrio">
    <w:name w:val="annotation text"/>
    <w:basedOn w:val="Normal"/>
    <w:link w:val="TextodecomentrioChar"/>
    <w:uiPriority w:val="99"/>
    <w:semiHidden/>
    <w:unhideWhenUsed/>
    <w:rsid w:val="00824C5D"/>
    <w:rPr>
      <w:sz w:val="24"/>
      <w:szCs w:val="24"/>
    </w:rPr>
  </w:style>
  <w:style w:type="character" w:customStyle="1" w:styleId="AssuntodocomentrioChar">
    <w:name w:val="Assunto do comentário Char"/>
    <w:basedOn w:val="TextodecomentrioChar"/>
    <w:link w:val="Assuntodocomentrio"/>
    <w:uiPriority w:val="99"/>
    <w:semiHidden/>
    <w:rsid w:val="00824C5D"/>
    <w:rPr>
      <w:rFonts w:ascii="Calibri" w:eastAsia="Calibri" w:hAnsi="Calibri" w:cs="Arial"/>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24C5D"/>
    <w:rPr>
      <w:b/>
      <w:bCs/>
      <w:sz w:val="20"/>
      <w:szCs w:val="20"/>
    </w:rPr>
  </w:style>
  <w:style w:type="character" w:styleId="Refdenotaderodap">
    <w:name w:val="footnote reference"/>
    <w:basedOn w:val="Fontepargpadro"/>
    <w:uiPriority w:val="99"/>
    <w:semiHidden/>
    <w:unhideWhenUsed/>
    <w:rsid w:val="00824C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aeloyr@hotmail.com" TargetMode="External"/><Relationship Id="rId12" Type="http://schemas.openxmlformats.org/officeDocument/2006/relationships/hyperlink" Target="http://www.sciencedirec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bservatoriodoclima.eco.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357b74801a57469c/Documentos/Peri&#243;dico/Tri&#226;ngulo%20-Brasil(green%20economy-%20ingles%20Fig%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a:latin typeface="Times New Roman" panose="02020603050405020304" pitchFamily="18" charset="0"/>
                <a:cs typeface="Times New Roman" panose="02020603050405020304" pitchFamily="18" charset="0"/>
              </a:defRPr>
            </a:pPr>
            <a:r>
              <a:rPr lang="pt-BR" sz="1200" b="0" baseline="0">
                <a:latin typeface="Times New Roman" panose="02020603050405020304" pitchFamily="18" charset="0"/>
                <a:cs typeface="Times New Roman" panose="02020603050405020304" pitchFamily="18" charset="0"/>
              </a:rPr>
              <a:t>Figure 4: Magic Triangle - Brazil</a:t>
            </a:r>
            <a:endParaRPr lang="pt-BR" sz="1200" b="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21723895065880608"/>
          <c:y val="0.16425610063237117"/>
          <c:w val="0.44753214893364512"/>
          <c:h val="0.72503820552005704"/>
        </c:manualLayout>
      </c:layout>
      <c:radarChart>
        <c:radarStyle val="marker"/>
        <c:varyColors val="0"/>
        <c:ser>
          <c:idx val="0"/>
          <c:order val="0"/>
          <c:tx>
            <c:strRef>
              <c:f>'[Triângulo -Brasil(green economy- ingles Fig 4).xlsx]Plan1'!$B$15</c:f>
              <c:strCache>
                <c:ptCount val="1"/>
                <c:pt idx="0">
                  <c:v>2001-07</c:v>
                </c:pt>
              </c:strCache>
            </c:strRef>
          </c:tx>
          <c:spPr>
            <a:ln w="22225">
              <a:solidFill>
                <a:schemeClr val="tx1"/>
              </a:solidFill>
              <a:prstDash val="sysDash"/>
            </a:ln>
          </c:spPr>
          <c:marker>
            <c:symbol val="none"/>
          </c:marker>
          <c:cat>
            <c:strRef>
              <c:f>'[Triângulo -Brasil(green economy- ingles Fig 4).xlsx]Plan1'!$A$16:$A$18</c:f>
              <c:strCache>
                <c:ptCount val="3"/>
                <c:pt idx="0">
                  <c:v>ϒ'- Per capita income</c:v>
                </c:pt>
                <c:pt idx="1">
                  <c:v>ϕ' - Supply of renewable energy</c:v>
                </c:pt>
                <c:pt idx="2">
                  <c:v>ζ' - CO2 emission</c:v>
                </c:pt>
              </c:strCache>
            </c:strRef>
          </c:cat>
          <c:val>
            <c:numRef>
              <c:f>'[Triângulo -Brasil(green economy- ingles Fig 4).xlsx]Plan1'!$B$16:$B$18</c:f>
              <c:numCache>
                <c:formatCode>_-* #,##0.000_-;\-* #,##0.000_-;_-* "-"????_-;_-@_-</c:formatCode>
                <c:ptCount val="3"/>
                <c:pt idx="0">
                  <c:v>0.48679161973158985</c:v>
                </c:pt>
                <c:pt idx="1">
                  <c:v>0.44605774788077318</c:v>
                </c:pt>
                <c:pt idx="2">
                  <c:v>0.44451325525488128</c:v>
                </c:pt>
              </c:numCache>
            </c:numRef>
          </c:val>
          <c:extLst xmlns:c16r2="http://schemas.microsoft.com/office/drawing/2015/06/chart">
            <c:ext xmlns:c16="http://schemas.microsoft.com/office/drawing/2014/chart" uri="{C3380CC4-5D6E-409C-BE32-E72D297353CC}">
              <c16:uniqueId val="{00000000-3727-4567-ACC6-8C2D92799718}"/>
            </c:ext>
          </c:extLst>
        </c:ser>
        <c:ser>
          <c:idx val="1"/>
          <c:order val="1"/>
          <c:tx>
            <c:strRef>
              <c:f>'[Triângulo -Brasil(green economy- ingles Fig 4).xlsx]Plan1'!$C$15</c:f>
              <c:strCache>
                <c:ptCount val="1"/>
                <c:pt idx="0">
                  <c:v>2007-14</c:v>
                </c:pt>
              </c:strCache>
            </c:strRef>
          </c:tx>
          <c:spPr>
            <a:ln w="19050">
              <a:solidFill>
                <a:schemeClr val="tx1"/>
              </a:solidFill>
            </a:ln>
          </c:spPr>
          <c:marker>
            <c:symbol val="none"/>
          </c:marker>
          <c:cat>
            <c:strRef>
              <c:f>'[Triângulo -Brasil(green economy- ingles Fig 4).xlsx]Plan1'!$A$16:$A$18</c:f>
              <c:strCache>
                <c:ptCount val="3"/>
                <c:pt idx="0">
                  <c:v>ϒ'- Per capita income</c:v>
                </c:pt>
                <c:pt idx="1">
                  <c:v>ϕ' - Supply of renewable energy</c:v>
                </c:pt>
                <c:pt idx="2">
                  <c:v>ζ' - CO2 emission</c:v>
                </c:pt>
              </c:strCache>
            </c:strRef>
          </c:cat>
          <c:val>
            <c:numRef>
              <c:f>'[Triângulo -Brasil(green economy- ingles Fig 4).xlsx]Plan1'!$C$16:$C$18</c:f>
              <c:numCache>
                <c:formatCode>_-* #,##0.000_-;\-* #,##0.000_-;_-* "-"????_-;_-@_-</c:formatCode>
                <c:ptCount val="3"/>
                <c:pt idx="0">
                  <c:v>0.48099251270606902</c:v>
                </c:pt>
                <c:pt idx="1">
                  <c:v>0.42988620621864843</c:v>
                </c:pt>
                <c:pt idx="2">
                  <c:v>0.44882711198013325</c:v>
                </c:pt>
              </c:numCache>
            </c:numRef>
          </c:val>
          <c:extLst xmlns:c16r2="http://schemas.microsoft.com/office/drawing/2015/06/chart">
            <c:ext xmlns:c16="http://schemas.microsoft.com/office/drawing/2014/chart" uri="{C3380CC4-5D6E-409C-BE32-E72D297353CC}">
              <c16:uniqueId val="{00000001-3727-4567-ACC6-8C2D92799718}"/>
            </c:ext>
          </c:extLst>
        </c:ser>
        <c:ser>
          <c:idx val="2"/>
          <c:order val="2"/>
          <c:tx>
            <c:strRef>
              <c:f>'[Triângulo -Brasil(green economy- ingles Fig 4).xlsx]Plan1'!$D$15</c:f>
              <c:strCache>
                <c:ptCount val="1"/>
                <c:pt idx="0">
                  <c:v>Ideal</c:v>
                </c:pt>
              </c:strCache>
            </c:strRef>
          </c:tx>
          <c:spPr>
            <a:ln w="6350">
              <a:solidFill>
                <a:schemeClr val="tx1"/>
              </a:solidFill>
              <a:prstDash val="sysDash"/>
            </a:ln>
          </c:spPr>
          <c:marker>
            <c:symbol val="none"/>
          </c:marker>
          <c:cat>
            <c:strRef>
              <c:f>'[Triângulo -Brasil(green economy- ingles Fig 4).xlsx]Plan1'!$A$16:$A$18</c:f>
              <c:strCache>
                <c:ptCount val="3"/>
                <c:pt idx="0">
                  <c:v>ϒ'- Per capita income</c:v>
                </c:pt>
                <c:pt idx="1">
                  <c:v>ϕ' - Supply of renewable energy</c:v>
                </c:pt>
                <c:pt idx="2">
                  <c:v>ζ' - CO2 emission</c:v>
                </c:pt>
              </c:strCache>
            </c:strRef>
          </c:cat>
          <c:val>
            <c:numRef>
              <c:f>'[Triângulo -Brasil(green economy- ingles Fig 4).xlsx]Plan1'!$D$16:$D$18</c:f>
              <c:numCache>
                <c:formatCode>0.000</c:formatCode>
                <c:ptCount val="3"/>
                <c:pt idx="0">
                  <c:v>0.8773826753016617</c:v>
                </c:pt>
                <c:pt idx="1">
                  <c:v>0.8773826753016617</c:v>
                </c:pt>
                <c:pt idx="2">
                  <c:v>0.8773826753016617</c:v>
                </c:pt>
              </c:numCache>
            </c:numRef>
          </c:val>
          <c:extLst xmlns:c16r2="http://schemas.microsoft.com/office/drawing/2015/06/chart">
            <c:ext xmlns:c16="http://schemas.microsoft.com/office/drawing/2014/chart" uri="{C3380CC4-5D6E-409C-BE32-E72D297353CC}">
              <c16:uniqueId val="{00000002-3727-4567-ACC6-8C2D92799718}"/>
            </c:ext>
          </c:extLst>
        </c:ser>
        <c:dLbls>
          <c:showLegendKey val="0"/>
          <c:showVal val="0"/>
          <c:showCatName val="0"/>
          <c:showSerName val="0"/>
          <c:showPercent val="0"/>
          <c:showBubbleSize val="0"/>
        </c:dLbls>
        <c:axId val="259227648"/>
        <c:axId val="259229568"/>
      </c:radarChart>
      <c:catAx>
        <c:axId val="259227648"/>
        <c:scaling>
          <c:orientation val="minMax"/>
        </c:scaling>
        <c:delete val="0"/>
        <c:axPos val="b"/>
        <c:majorGridlines/>
        <c:numFmt formatCode="General" sourceLinked="0"/>
        <c:majorTickMark val="out"/>
        <c:minorTickMark val="none"/>
        <c:tickLblPos val="nextTo"/>
        <c:spPr>
          <a:ln>
            <a:solidFill>
              <a:sysClr val="windowText" lastClr="000000"/>
            </a:solidFill>
          </a:ln>
        </c:spPr>
        <c:txPr>
          <a:bodyPr/>
          <a:lstStyle/>
          <a:p>
            <a:pPr>
              <a:defRPr lang="en-US">
                <a:latin typeface="Times New Roman" panose="02020603050405020304" pitchFamily="18" charset="0"/>
                <a:cs typeface="Times New Roman" panose="02020603050405020304" pitchFamily="18" charset="0"/>
              </a:defRPr>
            </a:pPr>
            <a:endParaRPr lang="pt-BR"/>
          </a:p>
        </c:txPr>
        <c:crossAx val="259229568"/>
        <c:crosses val="autoZero"/>
        <c:auto val="1"/>
        <c:lblAlgn val="ctr"/>
        <c:lblOffset val="100"/>
        <c:noMultiLvlLbl val="0"/>
      </c:catAx>
      <c:valAx>
        <c:axId val="259229568"/>
        <c:scaling>
          <c:orientation val="minMax"/>
          <c:max val="0.87700000000000033"/>
        </c:scaling>
        <c:delete val="0"/>
        <c:axPos val="l"/>
        <c:majorGridlines/>
        <c:minorGridlines/>
        <c:numFmt formatCode="_-* #,##0.000_-;\-* #,##0.000_-;_-* &quot;-&quot;????_-;_-@_-" sourceLinked="1"/>
        <c:majorTickMark val="cross"/>
        <c:minorTickMark val="none"/>
        <c:tickLblPos val="nextTo"/>
        <c:txPr>
          <a:bodyPr/>
          <a:lstStyle/>
          <a:p>
            <a:pPr>
              <a:defRPr lang="en-US" sz="900" b="0"/>
            </a:pPr>
            <a:endParaRPr lang="pt-BR"/>
          </a:p>
        </c:txPr>
        <c:crossAx val="259227648"/>
        <c:crosses val="autoZero"/>
        <c:crossBetween val="between"/>
        <c:majorUnit val="0.25"/>
      </c:valAx>
      <c:spPr>
        <a:ln>
          <a:solidFill>
            <a:schemeClr val="tx1"/>
          </a:solidFill>
        </a:ln>
      </c:spPr>
    </c:plotArea>
    <c:legend>
      <c:legendPos val="r"/>
      <c:overlay val="0"/>
      <c:txPr>
        <a:bodyPr/>
        <a:lstStyle/>
        <a:p>
          <a:pPr>
            <a:defRPr lang="en-US">
              <a:latin typeface="Times New Roman" panose="02020603050405020304" pitchFamily="18" charset="0"/>
              <a:cs typeface="Times New Roman" panose="02020603050405020304"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5501</Words>
  <Characters>29710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Welton 1</cp:lastModifiedBy>
  <cp:revision>5</cp:revision>
  <dcterms:created xsi:type="dcterms:W3CDTF">2017-02-24T13:38:00Z</dcterms:created>
  <dcterms:modified xsi:type="dcterms:W3CDTF">2017-02-26T00:04:00Z</dcterms:modified>
</cp:coreProperties>
</file>